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9925C" w14:textId="10A42DF9" w:rsidR="005E2536" w:rsidRPr="00C81216" w:rsidRDefault="73959BBD" w:rsidP="4E1EB742">
      <w:pPr>
        <w:pStyle w:val="Para0-2"/>
        <w:jc w:val="center"/>
        <w:rPr>
          <w:rFonts w:asciiTheme="minorHAnsi" w:hAnsiTheme="minorHAnsi" w:cstheme="minorBidi"/>
          <w:b/>
          <w:bCs/>
          <w:sz w:val="32"/>
          <w:szCs w:val="32"/>
        </w:rPr>
      </w:pPr>
      <w:r w:rsidRPr="4E1EB742">
        <w:rPr>
          <w:rFonts w:asciiTheme="minorHAnsi" w:hAnsiTheme="minorHAnsi" w:cstheme="minorBidi"/>
          <w:b/>
          <w:bCs/>
          <w:sz w:val="32"/>
          <w:szCs w:val="32"/>
        </w:rPr>
        <w:t xml:space="preserve">ANNEX </w:t>
      </w:r>
      <w:r w:rsidR="2AA02E63" w:rsidRPr="4E1EB742">
        <w:rPr>
          <w:rFonts w:asciiTheme="minorHAnsi" w:hAnsiTheme="minorHAnsi" w:cstheme="minorBidi"/>
          <w:b/>
          <w:bCs/>
          <w:sz w:val="32"/>
          <w:szCs w:val="32"/>
        </w:rPr>
        <w:t>F</w:t>
      </w:r>
    </w:p>
    <w:p w14:paraId="4CE0BFB1" w14:textId="77777777" w:rsidR="005E2536" w:rsidRPr="00C81216" w:rsidRDefault="005E2536" w:rsidP="00C81216">
      <w:pPr>
        <w:pStyle w:val="Para0-2"/>
        <w:jc w:val="center"/>
        <w:rPr>
          <w:rFonts w:asciiTheme="minorHAnsi" w:hAnsiTheme="minorHAnsi" w:cstheme="minorHAnsi"/>
          <w:b/>
          <w:bCs/>
          <w:sz w:val="28"/>
          <w:szCs w:val="28"/>
        </w:rPr>
      </w:pPr>
    </w:p>
    <w:p w14:paraId="6526D532" w14:textId="77777777" w:rsidR="005E2536" w:rsidRPr="00C81216" w:rsidRDefault="005E2536" w:rsidP="00C81216">
      <w:pPr>
        <w:pStyle w:val="Para0-2"/>
        <w:jc w:val="center"/>
        <w:rPr>
          <w:rFonts w:asciiTheme="minorHAnsi" w:hAnsiTheme="minorHAnsi" w:cstheme="minorHAnsi"/>
          <w:b/>
          <w:bCs/>
          <w:sz w:val="28"/>
          <w:szCs w:val="28"/>
        </w:rPr>
      </w:pPr>
      <w:r w:rsidRPr="00C81216">
        <w:rPr>
          <w:rFonts w:asciiTheme="minorHAnsi" w:hAnsiTheme="minorHAnsi" w:cstheme="minorHAnsi"/>
          <w:b/>
          <w:bCs/>
          <w:sz w:val="28"/>
          <w:szCs w:val="28"/>
        </w:rPr>
        <w:t>CREDIT MANAGEMENT</w:t>
      </w:r>
    </w:p>
    <w:p w14:paraId="1DCDCE96" w14:textId="77777777" w:rsidR="005E2536" w:rsidRPr="00C81216" w:rsidRDefault="005E2536" w:rsidP="00D63418">
      <w:pPr>
        <w:pStyle w:val="Para0-2"/>
        <w:rPr>
          <w:rFonts w:asciiTheme="minorHAnsi" w:hAnsiTheme="minorHAnsi" w:cstheme="minorHAnsi"/>
          <w:b/>
          <w:bCs/>
        </w:rPr>
      </w:pPr>
    </w:p>
    <w:p w14:paraId="7B7B07C9" w14:textId="77777777" w:rsidR="005E2536" w:rsidRPr="00C81216" w:rsidRDefault="005E2536" w:rsidP="007A3A45">
      <w:pPr>
        <w:pStyle w:val="Para0-2"/>
        <w:rPr>
          <w:rFonts w:asciiTheme="minorHAnsi" w:hAnsiTheme="minorHAnsi" w:cstheme="minorHAnsi"/>
          <w:b/>
          <w:bCs/>
          <w:sz w:val="22"/>
          <w:szCs w:val="22"/>
        </w:rPr>
      </w:pPr>
      <w:bookmarkStart w:id="0" w:name="_Hlk82512318"/>
      <w:r w:rsidRPr="00C81216">
        <w:rPr>
          <w:rFonts w:asciiTheme="minorHAnsi" w:hAnsiTheme="minorHAnsi" w:cstheme="minorHAnsi"/>
          <w:b/>
          <w:bCs/>
          <w:sz w:val="22"/>
          <w:szCs w:val="22"/>
        </w:rPr>
        <w:t>Definitions</w:t>
      </w:r>
    </w:p>
    <w:bookmarkEnd w:id="0"/>
    <w:p w14:paraId="39E6AC2C" w14:textId="77777777" w:rsidR="005E2536" w:rsidRPr="00C81216" w:rsidRDefault="005E2536" w:rsidP="007A3A45">
      <w:pPr>
        <w:pStyle w:val="Para0-2"/>
        <w:rPr>
          <w:rFonts w:asciiTheme="minorHAnsi" w:hAnsiTheme="minorHAnsi" w:cstheme="minorHAnsi"/>
          <w:sz w:val="22"/>
          <w:szCs w:val="22"/>
        </w:rPr>
      </w:pPr>
    </w:p>
    <w:p w14:paraId="6167DB17" w14:textId="77777777" w:rsidR="005E2536" w:rsidRPr="00C81216" w:rsidRDefault="005E2536" w:rsidP="00BE562E">
      <w:pPr>
        <w:pStyle w:val="Para0-2"/>
        <w:numPr>
          <w:ilvl w:val="0"/>
          <w:numId w:val="38"/>
        </w:numPr>
        <w:overflowPunct w:val="0"/>
        <w:adjustRightInd w:val="0"/>
        <w:ind w:hanging="720"/>
        <w:textAlignment w:val="baseline"/>
        <w:rPr>
          <w:rFonts w:asciiTheme="minorHAnsi" w:hAnsiTheme="minorHAnsi" w:cstheme="minorHAnsi"/>
          <w:sz w:val="22"/>
          <w:szCs w:val="22"/>
        </w:rPr>
      </w:pPr>
      <w:r w:rsidRPr="00C81216">
        <w:rPr>
          <w:rFonts w:asciiTheme="minorHAnsi" w:hAnsiTheme="minorHAnsi" w:cstheme="minorHAnsi"/>
          <w:sz w:val="22"/>
          <w:szCs w:val="22"/>
        </w:rPr>
        <w:t>In this Annex, a reference to a paragraph or Appendix, unless stated otherwise is to a paragraph or appendix of this Annex. Words, abbreviations and expressions have the meanings given in Annex D except as shown below.</w:t>
      </w:r>
    </w:p>
    <w:p w14:paraId="684CE9A7" w14:textId="77777777" w:rsidR="005E2536" w:rsidRPr="00C81216" w:rsidRDefault="005E2536" w:rsidP="006E48E1">
      <w:pPr>
        <w:pStyle w:val="Para0-2"/>
        <w:rPr>
          <w:rFonts w:asciiTheme="minorHAnsi" w:hAnsiTheme="minorHAnsi" w:cstheme="minorHAnsi"/>
          <w:sz w:val="22"/>
          <w:szCs w:val="22"/>
        </w:rPr>
      </w:pPr>
    </w:p>
    <w:tbl>
      <w:tblPr>
        <w:tblW w:w="0" w:type="auto"/>
        <w:tblInd w:w="108" w:type="dxa"/>
        <w:tblLook w:val="0000" w:firstRow="0" w:lastRow="0" w:firstColumn="0" w:lastColumn="0" w:noHBand="0" w:noVBand="0"/>
      </w:tblPr>
      <w:tblGrid>
        <w:gridCol w:w="3420"/>
        <w:gridCol w:w="4994"/>
      </w:tblGrid>
      <w:tr w:rsidR="005E2536" w:rsidRPr="00F71678" w14:paraId="7FBE0DD9" w14:textId="77777777" w:rsidTr="002B3113">
        <w:tc>
          <w:tcPr>
            <w:tcW w:w="3420" w:type="dxa"/>
          </w:tcPr>
          <w:p w14:paraId="69ACA5E0" w14:textId="77777777" w:rsidR="005E2536" w:rsidRPr="00C81216" w:rsidRDefault="005E2536" w:rsidP="005E535E">
            <w:pPr>
              <w:pStyle w:val="Para0-2"/>
              <w:ind w:left="0" w:firstLine="0"/>
              <w:rPr>
                <w:rFonts w:asciiTheme="minorHAnsi" w:hAnsiTheme="minorHAnsi" w:cstheme="minorHAnsi"/>
                <w:b/>
                <w:bCs/>
                <w:sz w:val="22"/>
                <w:szCs w:val="22"/>
              </w:rPr>
            </w:pPr>
            <w:r w:rsidRPr="00C81216">
              <w:rPr>
                <w:rFonts w:asciiTheme="minorHAnsi" w:hAnsiTheme="minorHAnsi" w:cstheme="minorHAnsi"/>
                <w:b/>
                <w:bCs/>
                <w:sz w:val="22"/>
                <w:szCs w:val="22"/>
              </w:rPr>
              <w:t>“Adverse”</w:t>
            </w:r>
          </w:p>
          <w:p w14:paraId="1F646608" w14:textId="77777777" w:rsidR="005E2536" w:rsidRPr="00C81216" w:rsidRDefault="005E2536" w:rsidP="006A687D">
            <w:pPr>
              <w:pStyle w:val="Para0-2"/>
              <w:ind w:left="0" w:firstLine="0"/>
              <w:rPr>
                <w:rFonts w:asciiTheme="minorHAnsi" w:hAnsiTheme="minorHAnsi" w:cstheme="minorHAnsi"/>
                <w:b/>
                <w:bCs/>
                <w:sz w:val="22"/>
                <w:szCs w:val="22"/>
              </w:rPr>
            </w:pPr>
          </w:p>
        </w:tc>
        <w:tc>
          <w:tcPr>
            <w:tcW w:w="4994" w:type="dxa"/>
          </w:tcPr>
          <w:p w14:paraId="69AB0AB5" w14:textId="77777777" w:rsidR="005E2536" w:rsidRPr="00C81216" w:rsidRDefault="005E2536" w:rsidP="000B54CF">
            <w:pPr>
              <w:pStyle w:val="Para0-2"/>
              <w:ind w:left="0" w:firstLine="0"/>
              <w:rPr>
                <w:rFonts w:asciiTheme="minorHAnsi" w:hAnsiTheme="minorHAnsi" w:cstheme="minorHAnsi"/>
                <w:sz w:val="22"/>
                <w:szCs w:val="22"/>
              </w:rPr>
            </w:pPr>
            <w:r w:rsidRPr="00C81216">
              <w:rPr>
                <w:rFonts w:asciiTheme="minorHAnsi" w:hAnsiTheme="minorHAnsi" w:cstheme="minorHAnsi"/>
                <w:sz w:val="22"/>
                <w:szCs w:val="22"/>
              </w:rPr>
              <w:t>any or all of the following:</w:t>
            </w:r>
          </w:p>
          <w:p w14:paraId="61C6BEBC" w14:textId="613DF6AD" w:rsidR="005E2536" w:rsidRPr="00C81216" w:rsidRDefault="005E2536">
            <w:pPr>
              <w:pStyle w:val="Para0-2"/>
              <w:numPr>
                <w:ilvl w:val="0"/>
                <w:numId w:val="39"/>
              </w:numPr>
              <w:overflowPunct w:val="0"/>
              <w:adjustRightInd w:val="0"/>
              <w:textAlignment w:val="baseline"/>
              <w:rPr>
                <w:rFonts w:asciiTheme="minorHAnsi" w:hAnsiTheme="minorHAnsi" w:cstheme="minorHAnsi"/>
                <w:sz w:val="22"/>
                <w:szCs w:val="22"/>
              </w:rPr>
            </w:pPr>
            <w:r w:rsidRPr="00C81216">
              <w:rPr>
                <w:rFonts w:asciiTheme="minorHAnsi" w:hAnsiTheme="minorHAnsi" w:cstheme="minorHAnsi"/>
                <w:sz w:val="22"/>
                <w:szCs w:val="22"/>
              </w:rPr>
              <w:t>a classification of the Operator or BT, as the case may be, by Dun and Bradstreet as “slightly greater than average level of risk” or a classification of a higher risk level, or an equivalent by an external credit agency listed in the BT</w:t>
            </w:r>
            <w:r w:rsidR="00D64150">
              <w:rPr>
                <w:rFonts w:asciiTheme="minorHAnsi" w:hAnsiTheme="minorHAnsi" w:cstheme="minorHAnsi"/>
                <w:sz w:val="22"/>
                <w:szCs w:val="22"/>
              </w:rPr>
              <w:t xml:space="preserve"> SIA/SIPIA</w:t>
            </w:r>
            <w:r w:rsidRPr="00C81216">
              <w:rPr>
                <w:rFonts w:asciiTheme="minorHAnsi" w:hAnsiTheme="minorHAnsi" w:cstheme="minorHAnsi"/>
                <w:sz w:val="22"/>
                <w:szCs w:val="22"/>
              </w:rPr>
              <w:t xml:space="preserve"> Credit Policy;</w:t>
            </w:r>
          </w:p>
          <w:p w14:paraId="20900B3D" w14:textId="77777777" w:rsidR="005E2536" w:rsidRPr="00C81216" w:rsidRDefault="005E2536">
            <w:pPr>
              <w:pStyle w:val="Para0-2"/>
              <w:numPr>
                <w:ilvl w:val="0"/>
                <w:numId w:val="39"/>
              </w:numPr>
              <w:overflowPunct w:val="0"/>
              <w:adjustRightInd w:val="0"/>
              <w:textAlignment w:val="baseline"/>
              <w:rPr>
                <w:rFonts w:asciiTheme="minorHAnsi" w:hAnsiTheme="minorHAnsi" w:cstheme="minorHAnsi"/>
                <w:sz w:val="22"/>
                <w:szCs w:val="22"/>
              </w:rPr>
            </w:pPr>
            <w:r w:rsidRPr="00C81216">
              <w:rPr>
                <w:rFonts w:asciiTheme="minorHAnsi" w:hAnsiTheme="minorHAnsi" w:cstheme="minorHAnsi"/>
                <w:sz w:val="22"/>
                <w:szCs w:val="22"/>
              </w:rPr>
              <w:t>if the information available in respect of the Operator or BT, as the case may be, is less than that which would be available for a UK company under UK Companies Act legislation;</w:t>
            </w:r>
          </w:p>
          <w:p w14:paraId="510BEDF0" w14:textId="686CC61E" w:rsidR="005E2536" w:rsidRPr="00C81216" w:rsidRDefault="005E2536">
            <w:pPr>
              <w:pStyle w:val="Para0-2"/>
              <w:numPr>
                <w:ilvl w:val="0"/>
                <w:numId w:val="39"/>
              </w:numPr>
              <w:overflowPunct w:val="0"/>
              <w:adjustRightInd w:val="0"/>
              <w:textAlignment w:val="baseline"/>
              <w:rPr>
                <w:rFonts w:asciiTheme="minorHAnsi" w:hAnsiTheme="minorHAnsi" w:cstheme="minorHAnsi"/>
                <w:sz w:val="22"/>
                <w:szCs w:val="22"/>
              </w:rPr>
            </w:pPr>
            <w:r w:rsidRPr="00C81216">
              <w:rPr>
                <w:rFonts w:asciiTheme="minorHAnsi" w:hAnsiTheme="minorHAnsi" w:cstheme="minorHAnsi"/>
                <w:sz w:val="22"/>
                <w:szCs w:val="22"/>
              </w:rPr>
              <w:t xml:space="preserve">if at the time of the Credit Vet, or at any time thereafter, the Operator or BT, as the case may be, </w:t>
            </w:r>
            <w:r w:rsidRPr="00A645D2">
              <w:rPr>
                <w:rFonts w:asciiTheme="minorHAnsi" w:hAnsiTheme="minorHAnsi" w:cstheme="minorHAnsi"/>
                <w:sz w:val="22"/>
                <w:szCs w:val="22"/>
              </w:rPr>
              <w:t xml:space="preserve">fits any of the circumstances in paragraph </w:t>
            </w:r>
            <w:r w:rsidR="00A645D2" w:rsidRPr="00A645D2">
              <w:rPr>
                <w:rFonts w:asciiTheme="minorHAnsi" w:hAnsiTheme="minorHAnsi" w:cstheme="minorHAnsi"/>
                <w:sz w:val="22"/>
                <w:szCs w:val="22"/>
              </w:rPr>
              <w:t>30</w:t>
            </w:r>
            <w:r w:rsidRPr="00A645D2">
              <w:rPr>
                <w:rFonts w:asciiTheme="minorHAnsi" w:hAnsiTheme="minorHAnsi" w:cstheme="minorHAnsi"/>
                <w:sz w:val="22"/>
                <w:szCs w:val="22"/>
              </w:rPr>
              <w:t xml:space="preserve">.5.1 to </w:t>
            </w:r>
            <w:r w:rsidR="00A645D2" w:rsidRPr="00A645D2">
              <w:rPr>
                <w:rFonts w:asciiTheme="minorHAnsi" w:hAnsiTheme="minorHAnsi" w:cstheme="minorHAnsi"/>
                <w:sz w:val="22"/>
                <w:szCs w:val="22"/>
              </w:rPr>
              <w:t>30</w:t>
            </w:r>
            <w:r w:rsidRPr="00A645D2">
              <w:rPr>
                <w:rFonts w:asciiTheme="minorHAnsi" w:hAnsiTheme="minorHAnsi" w:cstheme="minorHAnsi"/>
                <w:sz w:val="22"/>
                <w:szCs w:val="22"/>
              </w:rPr>
              <w:t>.5.6 of the main body of the Agreement;</w:t>
            </w:r>
          </w:p>
          <w:p w14:paraId="51B3F4AA" w14:textId="77777777" w:rsidR="005E2536" w:rsidRPr="00C81216" w:rsidRDefault="005E2536">
            <w:pPr>
              <w:pStyle w:val="Para0-2"/>
              <w:ind w:left="360" w:firstLine="0"/>
              <w:rPr>
                <w:rFonts w:asciiTheme="minorHAnsi" w:hAnsiTheme="minorHAnsi" w:cstheme="minorHAnsi"/>
                <w:sz w:val="22"/>
                <w:szCs w:val="22"/>
              </w:rPr>
            </w:pPr>
          </w:p>
        </w:tc>
      </w:tr>
      <w:tr w:rsidR="005E2536" w:rsidRPr="00F71678" w14:paraId="0F8A4818" w14:textId="77777777" w:rsidTr="002B3113">
        <w:tc>
          <w:tcPr>
            <w:tcW w:w="3420" w:type="dxa"/>
          </w:tcPr>
          <w:p w14:paraId="392633D8" w14:textId="4A2DAB27" w:rsidR="005E2536" w:rsidRPr="00C81216" w:rsidRDefault="005E2536" w:rsidP="00D63418">
            <w:pPr>
              <w:pStyle w:val="Para0-2"/>
              <w:ind w:left="0" w:firstLine="0"/>
              <w:rPr>
                <w:rFonts w:asciiTheme="minorHAnsi" w:hAnsiTheme="minorHAnsi" w:cstheme="minorHAnsi"/>
                <w:b/>
                <w:bCs/>
                <w:sz w:val="22"/>
                <w:szCs w:val="22"/>
              </w:rPr>
            </w:pPr>
            <w:r w:rsidRPr="00C81216">
              <w:rPr>
                <w:rFonts w:asciiTheme="minorHAnsi" w:hAnsiTheme="minorHAnsi" w:cstheme="minorHAnsi"/>
                <w:b/>
                <w:bCs/>
                <w:sz w:val="22"/>
                <w:szCs w:val="22"/>
              </w:rPr>
              <w:t>“BT</w:t>
            </w:r>
            <w:r w:rsidR="0000620C">
              <w:rPr>
                <w:rFonts w:asciiTheme="minorHAnsi" w:hAnsiTheme="minorHAnsi" w:cstheme="minorHAnsi"/>
                <w:b/>
                <w:bCs/>
                <w:sz w:val="22"/>
                <w:szCs w:val="22"/>
              </w:rPr>
              <w:t xml:space="preserve"> SIA</w:t>
            </w:r>
            <w:r w:rsidR="00D64150">
              <w:rPr>
                <w:rFonts w:asciiTheme="minorHAnsi" w:hAnsiTheme="minorHAnsi" w:cstheme="minorHAnsi"/>
                <w:b/>
                <w:bCs/>
                <w:sz w:val="22"/>
                <w:szCs w:val="22"/>
              </w:rPr>
              <w:t>/SIPIA</w:t>
            </w:r>
            <w:r w:rsidRPr="00C81216">
              <w:rPr>
                <w:rFonts w:asciiTheme="minorHAnsi" w:hAnsiTheme="minorHAnsi" w:cstheme="minorHAnsi"/>
                <w:b/>
                <w:bCs/>
                <w:sz w:val="22"/>
                <w:szCs w:val="22"/>
              </w:rPr>
              <w:t xml:space="preserve"> Credit Policy”</w:t>
            </w:r>
          </w:p>
        </w:tc>
        <w:tc>
          <w:tcPr>
            <w:tcW w:w="4994" w:type="dxa"/>
          </w:tcPr>
          <w:p w14:paraId="099FC29C" w14:textId="5AFE4A14" w:rsidR="005E2536" w:rsidRPr="00C81216" w:rsidRDefault="005E2536" w:rsidP="007A3A45">
            <w:pPr>
              <w:pStyle w:val="Para0-2"/>
              <w:ind w:left="0" w:firstLine="0"/>
              <w:rPr>
                <w:rFonts w:asciiTheme="minorHAnsi" w:hAnsiTheme="minorHAnsi" w:cstheme="minorHAnsi"/>
                <w:sz w:val="22"/>
                <w:szCs w:val="22"/>
              </w:rPr>
            </w:pPr>
            <w:r w:rsidRPr="00C81216">
              <w:rPr>
                <w:rFonts w:asciiTheme="minorHAnsi" w:hAnsiTheme="minorHAnsi" w:cstheme="minorHAnsi"/>
                <w:sz w:val="22"/>
                <w:szCs w:val="22"/>
              </w:rPr>
              <w:t>the document of that name issued by BT and made available to the Operator, as varied by BT from time to time on not less than three month’s advance notice provided that such changes are made available to the Operator on the BT website and are brought to the attention of the industry by the BT interconnect notification procedures;</w:t>
            </w:r>
          </w:p>
          <w:p w14:paraId="50F985AE" w14:textId="77777777" w:rsidR="005E2536" w:rsidRPr="00C81216" w:rsidRDefault="005E2536" w:rsidP="007A3A45">
            <w:pPr>
              <w:pStyle w:val="Para0-2"/>
              <w:ind w:left="0" w:firstLine="0"/>
              <w:rPr>
                <w:rFonts w:asciiTheme="minorHAnsi" w:hAnsiTheme="minorHAnsi" w:cstheme="minorHAnsi"/>
                <w:sz w:val="22"/>
                <w:szCs w:val="22"/>
              </w:rPr>
            </w:pPr>
          </w:p>
        </w:tc>
      </w:tr>
      <w:tr w:rsidR="005E2536" w:rsidRPr="00C81216" w14:paraId="6778EDC1" w14:textId="77777777" w:rsidTr="002B3113">
        <w:tc>
          <w:tcPr>
            <w:tcW w:w="3420" w:type="dxa"/>
          </w:tcPr>
          <w:p w14:paraId="46FC7911" w14:textId="00C33ECA" w:rsidR="005E2536" w:rsidRPr="00C81216" w:rsidRDefault="005E2536" w:rsidP="00D63418">
            <w:pPr>
              <w:pStyle w:val="Para0-2"/>
              <w:ind w:left="0" w:firstLine="0"/>
              <w:rPr>
                <w:rFonts w:asciiTheme="minorHAnsi" w:hAnsiTheme="minorHAnsi" w:cstheme="minorHAnsi"/>
                <w:b/>
                <w:bCs/>
                <w:sz w:val="22"/>
                <w:szCs w:val="22"/>
              </w:rPr>
            </w:pPr>
            <w:r w:rsidRPr="00C81216">
              <w:rPr>
                <w:rFonts w:asciiTheme="minorHAnsi" w:hAnsiTheme="minorHAnsi" w:cstheme="minorHAnsi"/>
                <w:b/>
                <w:bCs/>
                <w:sz w:val="22"/>
                <w:szCs w:val="22"/>
              </w:rPr>
              <w:t>“</w:t>
            </w:r>
            <w:r w:rsidR="00FF63D5">
              <w:rPr>
                <w:rFonts w:asciiTheme="minorHAnsi" w:hAnsiTheme="minorHAnsi" w:cstheme="minorHAnsi"/>
                <w:b/>
                <w:bCs/>
                <w:sz w:val="22"/>
                <w:szCs w:val="22"/>
              </w:rPr>
              <w:t>C</w:t>
            </w:r>
            <w:r w:rsidRPr="00C81216">
              <w:rPr>
                <w:rFonts w:asciiTheme="minorHAnsi" w:hAnsiTheme="minorHAnsi" w:cstheme="minorHAnsi"/>
                <w:b/>
                <w:bCs/>
                <w:sz w:val="22"/>
                <w:szCs w:val="22"/>
              </w:rPr>
              <w:t xml:space="preserve">alendar </w:t>
            </w:r>
            <w:r w:rsidR="00FF63D5">
              <w:rPr>
                <w:rFonts w:asciiTheme="minorHAnsi" w:hAnsiTheme="minorHAnsi" w:cstheme="minorHAnsi"/>
                <w:b/>
                <w:bCs/>
                <w:sz w:val="22"/>
                <w:szCs w:val="22"/>
              </w:rPr>
              <w:t>M</w:t>
            </w:r>
            <w:r w:rsidR="00FF63D5" w:rsidRPr="00C81216">
              <w:rPr>
                <w:rFonts w:asciiTheme="minorHAnsi" w:hAnsiTheme="minorHAnsi" w:cstheme="minorHAnsi"/>
                <w:b/>
                <w:bCs/>
                <w:sz w:val="22"/>
                <w:szCs w:val="22"/>
              </w:rPr>
              <w:t xml:space="preserve">onth </w:t>
            </w:r>
            <w:r w:rsidR="00FF63D5">
              <w:rPr>
                <w:rFonts w:asciiTheme="minorHAnsi" w:hAnsiTheme="minorHAnsi" w:cstheme="minorHAnsi"/>
                <w:b/>
                <w:bCs/>
                <w:sz w:val="22"/>
                <w:szCs w:val="22"/>
              </w:rPr>
              <w:t>I</w:t>
            </w:r>
            <w:r w:rsidR="00FF63D5" w:rsidRPr="00C81216">
              <w:rPr>
                <w:rFonts w:asciiTheme="minorHAnsi" w:hAnsiTheme="minorHAnsi" w:cstheme="minorHAnsi"/>
                <w:b/>
                <w:bCs/>
                <w:sz w:val="22"/>
                <w:szCs w:val="22"/>
              </w:rPr>
              <w:t xml:space="preserve">nvoice </w:t>
            </w:r>
            <w:r w:rsidR="00FF63D5">
              <w:rPr>
                <w:rFonts w:asciiTheme="minorHAnsi" w:hAnsiTheme="minorHAnsi" w:cstheme="minorHAnsi"/>
                <w:b/>
                <w:bCs/>
                <w:sz w:val="22"/>
                <w:szCs w:val="22"/>
              </w:rPr>
              <w:t>S</w:t>
            </w:r>
            <w:r w:rsidR="00FF63D5" w:rsidRPr="00C81216">
              <w:rPr>
                <w:rFonts w:asciiTheme="minorHAnsi" w:hAnsiTheme="minorHAnsi" w:cstheme="minorHAnsi"/>
                <w:b/>
                <w:bCs/>
                <w:sz w:val="22"/>
                <w:szCs w:val="22"/>
              </w:rPr>
              <w:t>um</w:t>
            </w:r>
            <w:r w:rsidRPr="00C81216">
              <w:rPr>
                <w:rFonts w:asciiTheme="minorHAnsi" w:hAnsiTheme="minorHAnsi" w:cstheme="minorHAnsi"/>
                <w:b/>
                <w:bCs/>
                <w:sz w:val="22"/>
                <w:szCs w:val="22"/>
              </w:rPr>
              <w:t>”</w:t>
            </w:r>
          </w:p>
        </w:tc>
        <w:tc>
          <w:tcPr>
            <w:tcW w:w="4994" w:type="dxa"/>
          </w:tcPr>
          <w:p w14:paraId="5EBD4B6E" w14:textId="77777777" w:rsidR="005E2536" w:rsidRPr="00C81216" w:rsidRDefault="005E2536" w:rsidP="007A3A45">
            <w:pPr>
              <w:pStyle w:val="Para0-2"/>
              <w:ind w:left="0" w:firstLine="0"/>
              <w:rPr>
                <w:rFonts w:asciiTheme="minorHAnsi" w:hAnsiTheme="minorHAnsi" w:cstheme="minorHAnsi"/>
                <w:sz w:val="22"/>
                <w:szCs w:val="22"/>
              </w:rPr>
            </w:pPr>
            <w:r w:rsidRPr="00C81216">
              <w:rPr>
                <w:rFonts w:asciiTheme="minorHAnsi" w:hAnsiTheme="minorHAnsi" w:cstheme="minorHAnsi"/>
                <w:sz w:val="22"/>
                <w:szCs w:val="22"/>
              </w:rPr>
              <w:t>in respect of either Party, the aggregate sum of all sums due under all invoices sent by the other Party under the Agreement, which invoices each have an invoice date within the same calendar month. For the avoidance of doubt, such sums shall be deemed to exclude any sums which are the subject of an invoice dispute under paragraph 5.2.2 of Annex B;</w:t>
            </w:r>
          </w:p>
          <w:p w14:paraId="1F039507" w14:textId="77777777" w:rsidR="005E2536" w:rsidRPr="00C81216" w:rsidRDefault="005E2536" w:rsidP="007A3A45">
            <w:pPr>
              <w:pStyle w:val="Para0-2"/>
              <w:ind w:left="0" w:firstLine="0"/>
              <w:rPr>
                <w:rFonts w:asciiTheme="minorHAnsi" w:hAnsiTheme="minorHAnsi" w:cstheme="minorHAnsi"/>
                <w:sz w:val="22"/>
                <w:szCs w:val="22"/>
              </w:rPr>
            </w:pPr>
          </w:p>
        </w:tc>
      </w:tr>
      <w:tr w:rsidR="005E2536" w:rsidRPr="00C81216" w14:paraId="3E7C0B82" w14:textId="77777777" w:rsidTr="005D3326">
        <w:trPr>
          <w:trHeight w:val="142"/>
        </w:trPr>
        <w:tc>
          <w:tcPr>
            <w:tcW w:w="3420" w:type="dxa"/>
          </w:tcPr>
          <w:p w14:paraId="2545F881" w14:textId="77777777" w:rsidR="005E2536" w:rsidRPr="00C81216" w:rsidRDefault="005E2536" w:rsidP="00D63418">
            <w:pPr>
              <w:pStyle w:val="Para0-2"/>
              <w:ind w:left="0" w:firstLine="0"/>
              <w:rPr>
                <w:rFonts w:asciiTheme="minorHAnsi" w:hAnsiTheme="minorHAnsi" w:cstheme="minorHAnsi"/>
                <w:b/>
                <w:bCs/>
                <w:sz w:val="22"/>
                <w:szCs w:val="22"/>
              </w:rPr>
            </w:pPr>
            <w:r w:rsidRPr="00C81216">
              <w:rPr>
                <w:rFonts w:asciiTheme="minorHAnsi" w:hAnsiTheme="minorHAnsi" w:cstheme="minorHAnsi"/>
                <w:b/>
                <w:bCs/>
                <w:sz w:val="22"/>
                <w:szCs w:val="22"/>
              </w:rPr>
              <w:t>“Credit Limit”</w:t>
            </w:r>
          </w:p>
        </w:tc>
        <w:tc>
          <w:tcPr>
            <w:tcW w:w="4994" w:type="dxa"/>
          </w:tcPr>
          <w:p w14:paraId="085B3C37" w14:textId="7624ED99" w:rsidR="005E2536" w:rsidRPr="00C81216" w:rsidRDefault="005E2536" w:rsidP="007A3A45">
            <w:pPr>
              <w:pStyle w:val="Para0-2"/>
              <w:ind w:left="0" w:firstLine="0"/>
              <w:rPr>
                <w:rFonts w:asciiTheme="minorHAnsi" w:hAnsiTheme="minorHAnsi" w:cstheme="minorHAnsi"/>
                <w:sz w:val="22"/>
                <w:szCs w:val="22"/>
              </w:rPr>
            </w:pPr>
            <w:r w:rsidRPr="00C81216">
              <w:rPr>
                <w:rFonts w:asciiTheme="minorHAnsi" w:hAnsiTheme="minorHAnsi" w:cstheme="minorHAnsi"/>
                <w:sz w:val="22"/>
                <w:szCs w:val="22"/>
              </w:rPr>
              <w:t>a limit on the monthly amount of credit that may be extended by one Party to the other under this Agreement, calculated as a result of a Credit Vet exercise.;</w:t>
            </w:r>
          </w:p>
          <w:p w14:paraId="2F21CB2B" w14:textId="77777777" w:rsidR="005E2536" w:rsidRPr="00C81216" w:rsidRDefault="005E2536" w:rsidP="007A3A45">
            <w:pPr>
              <w:pStyle w:val="Para0-2"/>
              <w:ind w:left="0" w:firstLine="0"/>
              <w:rPr>
                <w:rFonts w:asciiTheme="minorHAnsi" w:hAnsiTheme="minorHAnsi" w:cstheme="minorHAnsi"/>
                <w:sz w:val="22"/>
                <w:szCs w:val="22"/>
              </w:rPr>
            </w:pPr>
          </w:p>
        </w:tc>
      </w:tr>
      <w:tr w:rsidR="005E2536" w:rsidRPr="00C81216" w14:paraId="55ABF4F0" w14:textId="77777777" w:rsidTr="002B3113">
        <w:tc>
          <w:tcPr>
            <w:tcW w:w="3420" w:type="dxa"/>
          </w:tcPr>
          <w:p w14:paraId="37D260BB" w14:textId="77777777" w:rsidR="005E2536" w:rsidRPr="00C81216" w:rsidRDefault="005E2536" w:rsidP="00D63418">
            <w:pPr>
              <w:pStyle w:val="Para0-2"/>
              <w:ind w:left="0" w:firstLine="0"/>
              <w:rPr>
                <w:rFonts w:asciiTheme="minorHAnsi" w:hAnsiTheme="minorHAnsi" w:cstheme="minorHAnsi"/>
                <w:b/>
                <w:bCs/>
                <w:sz w:val="22"/>
                <w:szCs w:val="22"/>
              </w:rPr>
            </w:pPr>
            <w:r w:rsidRPr="00C81216">
              <w:rPr>
                <w:rFonts w:asciiTheme="minorHAnsi" w:hAnsiTheme="minorHAnsi" w:cstheme="minorHAnsi"/>
                <w:b/>
                <w:bCs/>
                <w:sz w:val="22"/>
                <w:szCs w:val="22"/>
              </w:rPr>
              <w:lastRenderedPageBreak/>
              <w:t>“Credit Vet”</w:t>
            </w:r>
          </w:p>
          <w:p w14:paraId="1CD5ABFE" w14:textId="77777777" w:rsidR="005E2536" w:rsidRPr="00C81216" w:rsidRDefault="005E2536" w:rsidP="007A3A45">
            <w:pPr>
              <w:pStyle w:val="Para0-2"/>
              <w:ind w:left="0" w:firstLine="0"/>
              <w:rPr>
                <w:rFonts w:asciiTheme="minorHAnsi" w:hAnsiTheme="minorHAnsi" w:cstheme="minorHAnsi"/>
                <w:b/>
                <w:bCs/>
                <w:sz w:val="22"/>
                <w:szCs w:val="22"/>
              </w:rPr>
            </w:pPr>
          </w:p>
        </w:tc>
        <w:tc>
          <w:tcPr>
            <w:tcW w:w="4994" w:type="dxa"/>
          </w:tcPr>
          <w:p w14:paraId="4C3402BE" w14:textId="77777777" w:rsidR="005E2536" w:rsidRPr="00C81216" w:rsidRDefault="005E2536" w:rsidP="007A3A45">
            <w:pPr>
              <w:pStyle w:val="Para0-2"/>
              <w:ind w:left="0" w:firstLine="0"/>
              <w:rPr>
                <w:rFonts w:asciiTheme="minorHAnsi" w:hAnsiTheme="minorHAnsi" w:cstheme="minorHAnsi"/>
                <w:sz w:val="22"/>
                <w:szCs w:val="22"/>
              </w:rPr>
            </w:pPr>
            <w:r w:rsidRPr="00C81216">
              <w:rPr>
                <w:rFonts w:asciiTheme="minorHAnsi" w:hAnsiTheme="minorHAnsi" w:cstheme="minorHAnsi"/>
                <w:sz w:val="22"/>
                <w:szCs w:val="22"/>
              </w:rPr>
              <w:t>an exercise carried out by a Party using external agency financial data and a Party’s internal records (if any) to assess the ongoing credit risk of business with the other Party under the Agreement;</w:t>
            </w:r>
          </w:p>
          <w:p w14:paraId="025A1A34" w14:textId="77777777" w:rsidR="005E2536" w:rsidRPr="00C81216" w:rsidRDefault="005E2536" w:rsidP="00BE562E">
            <w:pPr>
              <w:pStyle w:val="Para0-2"/>
              <w:ind w:left="0" w:firstLine="0"/>
              <w:rPr>
                <w:rFonts w:asciiTheme="minorHAnsi" w:hAnsiTheme="minorHAnsi" w:cstheme="minorHAnsi"/>
                <w:sz w:val="22"/>
                <w:szCs w:val="22"/>
              </w:rPr>
            </w:pPr>
          </w:p>
        </w:tc>
      </w:tr>
      <w:tr w:rsidR="005E2536" w:rsidRPr="00C81216" w14:paraId="1CEDAB63" w14:textId="77777777" w:rsidTr="002B3113">
        <w:tc>
          <w:tcPr>
            <w:tcW w:w="3420" w:type="dxa"/>
          </w:tcPr>
          <w:p w14:paraId="40E06FEF" w14:textId="77777777" w:rsidR="005E2536" w:rsidRPr="00C81216" w:rsidRDefault="005E2536" w:rsidP="00D63418">
            <w:pPr>
              <w:pStyle w:val="Para0-2"/>
              <w:ind w:left="0" w:firstLine="0"/>
              <w:rPr>
                <w:rFonts w:asciiTheme="minorHAnsi" w:hAnsiTheme="minorHAnsi" w:cstheme="minorHAnsi"/>
                <w:b/>
                <w:bCs/>
                <w:sz w:val="22"/>
                <w:szCs w:val="22"/>
              </w:rPr>
            </w:pPr>
            <w:r w:rsidRPr="00C81216">
              <w:rPr>
                <w:rFonts w:asciiTheme="minorHAnsi" w:hAnsiTheme="minorHAnsi" w:cstheme="minorHAnsi"/>
                <w:b/>
                <w:bCs/>
                <w:sz w:val="22"/>
                <w:szCs w:val="22"/>
              </w:rPr>
              <w:t>“Deposit Interest Rate”</w:t>
            </w:r>
          </w:p>
        </w:tc>
        <w:tc>
          <w:tcPr>
            <w:tcW w:w="4994" w:type="dxa"/>
          </w:tcPr>
          <w:p w14:paraId="7D32FF02" w14:textId="77777777" w:rsidR="005E2536" w:rsidRPr="00C81216" w:rsidRDefault="005E2536" w:rsidP="007A3A45">
            <w:pPr>
              <w:pStyle w:val="Para0-2"/>
              <w:ind w:left="0" w:firstLine="0"/>
              <w:rPr>
                <w:rFonts w:asciiTheme="minorHAnsi" w:hAnsiTheme="minorHAnsi" w:cstheme="minorHAnsi"/>
                <w:sz w:val="22"/>
                <w:szCs w:val="22"/>
              </w:rPr>
            </w:pPr>
            <w:r w:rsidRPr="00C81216">
              <w:rPr>
                <w:rFonts w:asciiTheme="minorHAnsi" w:hAnsiTheme="minorHAnsi" w:cstheme="minorHAnsi"/>
                <w:sz w:val="22"/>
                <w:szCs w:val="22"/>
              </w:rPr>
              <w:t>one per cent above the Bank of England base rate applying as at the end of the (banking) day when the deposit was received. Such Deposit Interest Rate to be calculated on a daily basis;</w:t>
            </w:r>
          </w:p>
          <w:p w14:paraId="286DF21B" w14:textId="77777777" w:rsidR="005E2536" w:rsidRPr="00C81216" w:rsidRDefault="005E2536" w:rsidP="007A3A45">
            <w:pPr>
              <w:pStyle w:val="Para0-2"/>
              <w:ind w:left="0" w:firstLine="0"/>
              <w:rPr>
                <w:rFonts w:asciiTheme="minorHAnsi" w:hAnsiTheme="minorHAnsi" w:cstheme="minorHAnsi"/>
                <w:sz w:val="22"/>
                <w:szCs w:val="22"/>
              </w:rPr>
            </w:pPr>
          </w:p>
        </w:tc>
      </w:tr>
      <w:tr w:rsidR="005E2536" w:rsidRPr="00C81216" w14:paraId="31809AF8" w14:textId="77777777" w:rsidTr="002B3113">
        <w:tc>
          <w:tcPr>
            <w:tcW w:w="3420" w:type="dxa"/>
          </w:tcPr>
          <w:p w14:paraId="64D4A391" w14:textId="77777777" w:rsidR="005E2536" w:rsidRPr="00C81216" w:rsidRDefault="005E2536" w:rsidP="00D63418">
            <w:pPr>
              <w:pStyle w:val="Para0-2"/>
              <w:ind w:left="0" w:firstLine="0"/>
              <w:rPr>
                <w:rFonts w:asciiTheme="minorHAnsi" w:hAnsiTheme="minorHAnsi" w:cstheme="minorHAnsi"/>
                <w:b/>
                <w:bCs/>
                <w:sz w:val="22"/>
                <w:szCs w:val="22"/>
              </w:rPr>
            </w:pPr>
            <w:r w:rsidRPr="00C81216">
              <w:rPr>
                <w:rFonts w:asciiTheme="minorHAnsi" w:hAnsiTheme="minorHAnsi" w:cstheme="minorHAnsi"/>
                <w:b/>
                <w:bCs/>
                <w:sz w:val="22"/>
                <w:szCs w:val="22"/>
              </w:rPr>
              <w:t>“Payment Period Notice”</w:t>
            </w:r>
          </w:p>
          <w:p w14:paraId="4C93F121" w14:textId="77777777" w:rsidR="005E2536" w:rsidRPr="00C81216" w:rsidRDefault="005E2536" w:rsidP="007A3A45">
            <w:pPr>
              <w:pStyle w:val="Para0-2"/>
              <w:ind w:left="0" w:firstLine="0"/>
              <w:rPr>
                <w:rFonts w:asciiTheme="minorHAnsi" w:hAnsiTheme="minorHAnsi" w:cstheme="minorHAnsi"/>
                <w:b/>
                <w:bCs/>
                <w:sz w:val="22"/>
                <w:szCs w:val="22"/>
              </w:rPr>
            </w:pPr>
          </w:p>
        </w:tc>
        <w:tc>
          <w:tcPr>
            <w:tcW w:w="4994" w:type="dxa"/>
          </w:tcPr>
          <w:p w14:paraId="629657B4" w14:textId="399CA7E0" w:rsidR="005E2536" w:rsidRPr="00C81216" w:rsidRDefault="005E2536" w:rsidP="007A3A45">
            <w:pPr>
              <w:pStyle w:val="Para0-2"/>
              <w:ind w:left="0" w:firstLine="0"/>
              <w:rPr>
                <w:rFonts w:asciiTheme="minorHAnsi" w:hAnsiTheme="minorHAnsi" w:cstheme="minorHAnsi"/>
                <w:sz w:val="22"/>
                <w:szCs w:val="22"/>
              </w:rPr>
            </w:pPr>
            <w:r w:rsidRPr="00C81216">
              <w:rPr>
                <w:rFonts w:asciiTheme="minorHAnsi" w:hAnsiTheme="minorHAnsi" w:cstheme="minorHAnsi"/>
                <w:sz w:val="22"/>
                <w:szCs w:val="22"/>
              </w:rPr>
              <w:t xml:space="preserve">a notice issued under paragraph 5 or 14 of this Annex </w:t>
            </w:r>
            <w:r w:rsidR="00BD1977">
              <w:rPr>
                <w:rFonts w:asciiTheme="minorHAnsi" w:hAnsiTheme="minorHAnsi" w:cstheme="minorHAnsi"/>
                <w:sz w:val="22"/>
                <w:szCs w:val="22"/>
              </w:rPr>
              <w:t>F</w:t>
            </w:r>
            <w:r w:rsidRPr="00C81216">
              <w:rPr>
                <w:rFonts w:asciiTheme="minorHAnsi" w:hAnsiTheme="minorHAnsi" w:cstheme="minorHAnsi"/>
                <w:sz w:val="22"/>
                <w:szCs w:val="22"/>
              </w:rPr>
              <w:t>;</w:t>
            </w:r>
          </w:p>
          <w:p w14:paraId="3CAF70A1" w14:textId="77777777" w:rsidR="005E2536" w:rsidRPr="00C81216" w:rsidRDefault="005E2536" w:rsidP="00BE562E">
            <w:pPr>
              <w:pStyle w:val="Para0-2"/>
              <w:ind w:left="0" w:firstLine="0"/>
              <w:rPr>
                <w:rFonts w:asciiTheme="minorHAnsi" w:hAnsiTheme="minorHAnsi" w:cstheme="minorHAnsi"/>
                <w:sz w:val="22"/>
                <w:szCs w:val="22"/>
              </w:rPr>
            </w:pPr>
          </w:p>
        </w:tc>
      </w:tr>
      <w:tr w:rsidR="005E2536" w:rsidRPr="00C81216" w14:paraId="549AB2A2" w14:textId="77777777" w:rsidTr="002B3113">
        <w:tc>
          <w:tcPr>
            <w:tcW w:w="3420" w:type="dxa"/>
          </w:tcPr>
          <w:p w14:paraId="2DC5E4B3" w14:textId="77777777" w:rsidR="005E2536" w:rsidRPr="00C81216" w:rsidRDefault="005E2536" w:rsidP="00D63418">
            <w:pPr>
              <w:pStyle w:val="Para0-2"/>
              <w:ind w:left="0" w:firstLine="0"/>
              <w:rPr>
                <w:rFonts w:asciiTheme="minorHAnsi" w:hAnsiTheme="minorHAnsi" w:cstheme="minorHAnsi"/>
                <w:b/>
                <w:bCs/>
                <w:sz w:val="22"/>
                <w:szCs w:val="22"/>
              </w:rPr>
            </w:pPr>
            <w:r w:rsidRPr="00C81216">
              <w:rPr>
                <w:rFonts w:asciiTheme="minorHAnsi" w:hAnsiTheme="minorHAnsi" w:cstheme="minorHAnsi"/>
                <w:b/>
                <w:bCs/>
                <w:sz w:val="22"/>
                <w:szCs w:val="22"/>
              </w:rPr>
              <w:t>“Profile Monitor(ing)”</w:t>
            </w:r>
          </w:p>
        </w:tc>
        <w:tc>
          <w:tcPr>
            <w:tcW w:w="4994" w:type="dxa"/>
          </w:tcPr>
          <w:p w14:paraId="1BE3813E" w14:textId="77777777" w:rsidR="005E2536" w:rsidRPr="00C81216" w:rsidRDefault="005E2536" w:rsidP="007A3A45">
            <w:pPr>
              <w:pStyle w:val="Para0-2"/>
              <w:ind w:left="0" w:firstLine="0"/>
              <w:rPr>
                <w:rFonts w:asciiTheme="minorHAnsi" w:hAnsiTheme="minorHAnsi" w:cstheme="minorHAnsi"/>
                <w:sz w:val="22"/>
                <w:szCs w:val="22"/>
              </w:rPr>
            </w:pPr>
            <w:r w:rsidRPr="00C81216">
              <w:rPr>
                <w:rFonts w:asciiTheme="minorHAnsi" w:hAnsiTheme="minorHAnsi" w:cstheme="minorHAnsi"/>
                <w:sz w:val="22"/>
                <w:szCs w:val="22"/>
              </w:rPr>
              <w:t>a mechanism whereby a Party’s liability is calculated on a regular basis within a Billing Period to produce a Projected Invoice Value;</w:t>
            </w:r>
          </w:p>
          <w:p w14:paraId="01E1F5AE" w14:textId="77777777" w:rsidR="005E2536" w:rsidRPr="00C81216" w:rsidRDefault="005E2536" w:rsidP="007A3A45">
            <w:pPr>
              <w:pStyle w:val="Para0-2"/>
              <w:ind w:left="0" w:firstLine="0"/>
              <w:rPr>
                <w:rFonts w:asciiTheme="minorHAnsi" w:hAnsiTheme="minorHAnsi" w:cstheme="minorHAnsi"/>
                <w:sz w:val="22"/>
                <w:szCs w:val="22"/>
              </w:rPr>
            </w:pPr>
          </w:p>
        </w:tc>
      </w:tr>
      <w:tr w:rsidR="005E2536" w:rsidRPr="00C81216" w14:paraId="3EEDBB22" w14:textId="77777777" w:rsidTr="002B3113">
        <w:tc>
          <w:tcPr>
            <w:tcW w:w="3420" w:type="dxa"/>
          </w:tcPr>
          <w:p w14:paraId="4DC3C0F4" w14:textId="77777777" w:rsidR="005E2536" w:rsidRPr="00C81216" w:rsidRDefault="005E2536" w:rsidP="00D63418">
            <w:pPr>
              <w:pStyle w:val="Para0-2"/>
              <w:ind w:left="0" w:firstLine="0"/>
              <w:rPr>
                <w:rFonts w:asciiTheme="minorHAnsi" w:hAnsiTheme="minorHAnsi" w:cstheme="minorHAnsi"/>
                <w:b/>
                <w:bCs/>
                <w:sz w:val="22"/>
                <w:szCs w:val="22"/>
              </w:rPr>
            </w:pPr>
            <w:r w:rsidRPr="00C81216">
              <w:rPr>
                <w:rFonts w:asciiTheme="minorHAnsi" w:hAnsiTheme="minorHAnsi" w:cstheme="minorHAnsi"/>
                <w:b/>
                <w:bCs/>
                <w:sz w:val="22"/>
                <w:szCs w:val="22"/>
              </w:rPr>
              <w:t>“Profile Monitoring Limit”</w:t>
            </w:r>
          </w:p>
        </w:tc>
        <w:tc>
          <w:tcPr>
            <w:tcW w:w="4994" w:type="dxa"/>
          </w:tcPr>
          <w:p w14:paraId="69CE21C9" w14:textId="13F382A2" w:rsidR="005E2536" w:rsidRPr="00C81216" w:rsidRDefault="005E2536" w:rsidP="007A3A45">
            <w:pPr>
              <w:pStyle w:val="Para0-2"/>
              <w:ind w:left="0" w:firstLine="0"/>
              <w:rPr>
                <w:rFonts w:asciiTheme="minorHAnsi" w:hAnsiTheme="minorHAnsi" w:cstheme="minorHAnsi"/>
                <w:sz w:val="22"/>
                <w:szCs w:val="22"/>
              </w:rPr>
            </w:pPr>
            <w:r w:rsidRPr="00C81216">
              <w:rPr>
                <w:rFonts w:asciiTheme="minorHAnsi" w:hAnsiTheme="minorHAnsi" w:cstheme="minorHAnsi"/>
                <w:sz w:val="22"/>
                <w:szCs w:val="22"/>
              </w:rPr>
              <w:t>an amount of credit in connection with profile monitoring under this Agreement which may be set by BT under paragraphs 3.2 and 7 or set by the Operator under paragraphs 12.2 or 16.;</w:t>
            </w:r>
          </w:p>
          <w:p w14:paraId="23F3115C" w14:textId="77777777" w:rsidR="005E2536" w:rsidRPr="00C81216" w:rsidRDefault="005E2536" w:rsidP="007A3A45">
            <w:pPr>
              <w:pStyle w:val="Para0-2"/>
              <w:ind w:left="0" w:firstLine="0"/>
              <w:rPr>
                <w:rFonts w:asciiTheme="minorHAnsi" w:hAnsiTheme="minorHAnsi" w:cstheme="minorHAnsi"/>
                <w:sz w:val="22"/>
                <w:szCs w:val="22"/>
              </w:rPr>
            </w:pPr>
          </w:p>
        </w:tc>
      </w:tr>
      <w:tr w:rsidR="005E2536" w:rsidRPr="00C81216" w14:paraId="13F27397" w14:textId="77777777" w:rsidTr="002B3113">
        <w:tc>
          <w:tcPr>
            <w:tcW w:w="3420" w:type="dxa"/>
          </w:tcPr>
          <w:p w14:paraId="4130D07B" w14:textId="77777777" w:rsidR="005E2536" w:rsidRPr="00C81216" w:rsidRDefault="005E2536" w:rsidP="00D63418">
            <w:pPr>
              <w:pStyle w:val="Para0-2"/>
              <w:ind w:left="0" w:firstLine="0"/>
              <w:rPr>
                <w:rFonts w:asciiTheme="minorHAnsi" w:hAnsiTheme="minorHAnsi" w:cstheme="minorHAnsi"/>
                <w:b/>
                <w:bCs/>
                <w:sz w:val="22"/>
                <w:szCs w:val="22"/>
              </w:rPr>
            </w:pPr>
            <w:r w:rsidRPr="00C81216">
              <w:rPr>
                <w:rFonts w:asciiTheme="minorHAnsi" w:hAnsiTheme="minorHAnsi" w:cstheme="minorHAnsi"/>
                <w:b/>
                <w:bCs/>
                <w:sz w:val="22"/>
                <w:szCs w:val="22"/>
              </w:rPr>
              <w:t>“Profile Security”</w:t>
            </w:r>
          </w:p>
        </w:tc>
        <w:tc>
          <w:tcPr>
            <w:tcW w:w="4994" w:type="dxa"/>
          </w:tcPr>
          <w:p w14:paraId="08BAE351" w14:textId="77777777" w:rsidR="005E2536" w:rsidRPr="00C81216" w:rsidRDefault="005E2536" w:rsidP="007A3A45">
            <w:pPr>
              <w:pStyle w:val="Para0-2"/>
              <w:ind w:left="0" w:firstLine="0"/>
              <w:rPr>
                <w:rFonts w:asciiTheme="minorHAnsi" w:hAnsiTheme="minorHAnsi" w:cstheme="minorHAnsi"/>
                <w:sz w:val="22"/>
                <w:szCs w:val="22"/>
              </w:rPr>
            </w:pPr>
            <w:r w:rsidRPr="00C81216">
              <w:rPr>
                <w:rFonts w:asciiTheme="minorHAnsi" w:hAnsiTheme="minorHAnsi" w:cstheme="minorHAnsi"/>
                <w:sz w:val="22"/>
                <w:szCs w:val="22"/>
              </w:rPr>
              <w:t>any of</w:t>
            </w:r>
          </w:p>
          <w:p w14:paraId="04AF4BBC" w14:textId="0BEA3201" w:rsidR="005E2536" w:rsidRPr="00C81216" w:rsidRDefault="005E2536" w:rsidP="007A3A45">
            <w:pPr>
              <w:pStyle w:val="Para0-2"/>
              <w:numPr>
                <w:ilvl w:val="0"/>
                <w:numId w:val="40"/>
              </w:numPr>
              <w:overflowPunct w:val="0"/>
              <w:adjustRightInd w:val="0"/>
              <w:textAlignment w:val="baseline"/>
              <w:rPr>
                <w:rFonts w:asciiTheme="minorHAnsi" w:hAnsiTheme="minorHAnsi" w:cstheme="minorHAnsi"/>
                <w:sz w:val="22"/>
                <w:szCs w:val="22"/>
              </w:rPr>
            </w:pPr>
            <w:r w:rsidRPr="00C81216">
              <w:rPr>
                <w:rFonts w:asciiTheme="minorHAnsi" w:hAnsiTheme="minorHAnsi" w:cstheme="minorHAnsi"/>
                <w:sz w:val="22"/>
                <w:szCs w:val="22"/>
              </w:rPr>
              <w:t>a cash sum deposit to be paid within five Working Days of request, where the maximum value of such deposit is three times the difference between the Projected Invoice Value and the Profile Monitoring Limit, and if set by BT such deposit value is set in accordance with the BT SIA</w:t>
            </w:r>
            <w:r w:rsidR="00D64150">
              <w:rPr>
                <w:rFonts w:asciiTheme="minorHAnsi" w:hAnsiTheme="minorHAnsi" w:cstheme="minorHAnsi"/>
                <w:sz w:val="22"/>
                <w:szCs w:val="22"/>
              </w:rPr>
              <w:t>/SIPIA</w:t>
            </w:r>
            <w:r w:rsidRPr="00C81216">
              <w:rPr>
                <w:rFonts w:asciiTheme="minorHAnsi" w:hAnsiTheme="minorHAnsi" w:cstheme="minorHAnsi"/>
                <w:sz w:val="22"/>
                <w:szCs w:val="22"/>
              </w:rPr>
              <w:t xml:space="preserve"> Credit Policy; and/or</w:t>
            </w:r>
          </w:p>
          <w:p w14:paraId="53F90C57" w14:textId="77777777" w:rsidR="005E2536" w:rsidRPr="00C81216" w:rsidRDefault="005E2536" w:rsidP="00BE562E">
            <w:pPr>
              <w:pStyle w:val="Para0-2"/>
              <w:numPr>
                <w:ilvl w:val="0"/>
                <w:numId w:val="40"/>
              </w:numPr>
              <w:overflowPunct w:val="0"/>
              <w:adjustRightInd w:val="0"/>
              <w:textAlignment w:val="baseline"/>
              <w:rPr>
                <w:rFonts w:asciiTheme="minorHAnsi" w:hAnsiTheme="minorHAnsi" w:cstheme="minorHAnsi"/>
                <w:sz w:val="22"/>
                <w:szCs w:val="22"/>
              </w:rPr>
            </w:pPr>
            <w:r w:rsidRPr="00C81216">
              <w:rPr>
                <w:rFonts w:asciiTheme="minorHAnsi" w:hAnsiTheme="minorHAnsi" w:cstheme="minorHAnsi"/>
                <w:sz w:val="22"/>
                <w:szCs w:val="22"/>
              </w:rPr>
              <w:t>Set-off; or</w:t>
            </w:r>
          </w:p>
          <w:p w14:paraId="145B436B" w14:textId="77777777" w:rsidR="005E2536" w:rsidRPr="00C81216" w:rsidRDefault="005E2536" w:rsidP="006E48E1">
            <w:pPr>
              <w:pStyle w:val="Para0-2"/>
              <w:numPr>
                <w:ilvl w:val="0"/>
                <w:numId w:val="40"/>
              </w:numPr>
              <w:overflowPunct w:val="0"/>
              <w:adjustRightInd w:val="0"/>
              <w:textAlignment w:val="baseline"/>
              <w:rPr>
                <w:rFonts w:asciiTheme="minorHAnsi" w:hAnsiTheme="minorHAnsi" w:cstheme="minorHAnsi"/>
                <w:sz w:val="22"/>
                <w:szCs w:val="22"/>
              </w:rPr>
            </w:pPr>
            <w:r w:rsidRPr="00C81216">
              <w:rPr>
                <w:rFonts w:asciiTheme="minorHAnsi" w:hAnsiTheme="minorHAnsi" w:cstheme="minorHAnsi"/>
                <w:sz w:val="22"/>
                <w:szCs w:val="22"/>
              </w:rPr>
              <w:t>an agreed advance payment scheme in accordance with paragraph 8.1 or 18;</w:t>
            </w:r>
          </w:p>
          <w:p w14:paraId="0C36233C" w14:textId="77777777" w:rsidR="005E2536" w:rsidRPr="00C81216" w:rsidRDefault="005E2536" w:rsidP="005E535E">
            <w:pPr>
              <w:pStyle w:val="Para0-2"/>
              <w:ind w:left="360" w:firstLine="0"/>
              <w:rPr>
                <w:rFonts w:asciiTheme="minorHAnsi" w:hAnsiTheme="minorHAnsi" w:cstheme="minorHAnsi"/>
                <w:sz w:val="22"/>
                <w:szCs w:val="22"/>
              </w:rPr>
            </w:pPr>
          </w:p>
        </w:tc>
      </w:tr>
      <w:tr w:rsidR="005E2536" w:rsidRPr="00C81216" w14:paraId="15CEA291" w14:textId="77777777" w:rsidTr="002B3113">
        <w:tc>
          <w:tcPr>
            <w:tcW w:w="3420" w:type="dxa"/>
          </w:tcPr>
          <w:p w14:paraId="57492392" w14:textId="77777777" w:rsidR="005E2536" w:rsidRPr="00C81216" w:rsidRDefault="005E2536" w:rsidP="00D63418">
            <w:pPr>
              <w:pStyle w:val="Para0-2"/>
              <w:ind w:left="0" w:firstLine="0"/>
              <w:rPr>
                <w:rFonts w:asciiTheme="minorHAnsi" w:hAnsiTheme="minorHAnsi" w:cstheme="minorHAnsi"/>
                <w:b/>
                <w:bCs/>
                <w:sz w:val="22"/>
                <w:szCs w:val="22"/>
              </w:rPr>
            </w:pPr>
            <w:r w:rsidRPr="00C81216">
              <w:rPr>
                <w:rFonts w:asciiTheme="minorHAnsi" w:hAnsiTheme="minorHAnsi" w:cstheme="minorHAnsi"/>
                <w:b/>
                <w:bCs/>
                <w:sz w:val="22"/>
                <w:szCs w:val="22"/>
              </w:rPr>
              <w:t>“Projected Invoice Value”</w:t>
            </w:r>
          </w:p>
        </w:tc>
        <w:tc>
          <w:tcPr>
            <w:tcW w:w="4994" w:type="dxa"/>
          </w:tcPr>
          <w:p w14:paraId="2BE68F54" w14:textId="5B790B0E" w:rsidR="005E2536" w:rsidRPr="00C81216" w:rsidRDefault="005E2536" w:rsidP="007A3A45">
            <w:pPr>
              <w:pStyle w:val="Para0-2"/>
              <w:ind w:left="0" w:firstLine="0"/>
              <w:rPr>
                <w:rFonts w:asciiTheme="minorHAnsi" w:hAnsiTheme="minorHAnsi" w:cstheme="minorHAnsi"/>
                <w:sz w:val="22"/>
                <w:szCs w:val="22"/>
              </w:rPr>
            </w:pPr>
            <w:r w:rsidRPr="00C81216">
              <w:rPr>
                <w:rFonts w:asciiTheme="minorHAnsi" w:hAnsiTheme="minorHAnsi" w:cstheme="minorHAnsi"/>
                <w:sz w:val="22"/>
                <w:szCs w:val="22"/>
              </w:rPr>
              <w:t>the estimated total invoice value under this Agreement to be raised at the end of a month by a Party on the other Party, calculated during that month by pro-rating the billing information available to date as held on the system or systems of that Party to the end of that month;</w:t>
            </w:r>
          </w:p>
          <w:p w14:paraId="47154396" w14:textId="77777777" w:rsidR="005E2536" w:rsidRPr="00C81216" w:rsidRDefault="005E2536" w:rsidP="007A3A45">
            <w:pPr>
              <w:pStyle w:val="Para0-2"/>
              <w:ind w:left="0" w:firstLine="0"/>
              <w:rPr>
                <w:rFonts w:asciiTheme="minorHAnsi" w:hAnsiTheme="minorHAnsi" w:cstheme="minorHAnsi"/>
                <w:sz w:val="22"/>
                <w:szCs w:val="22"/>
              </w:rPr>
            </w:pPr>
          </w:p>
        </w:tc>
      </w:tr>
      <w:tr w:rsidR="005E2536" w:rsidRPr="00C81216" w14:paraId="458C6AA4" w14:textId="77777777" w:rsidTr="002B3113">
        <w:tc>
          <w:tcPr>
            <w:tcW w:w="3420" w:type="dxa"/>
          </w:tcPr>
          <w:p w14:paraId="333F5CAF" w14:textId="77777777" w:rsidR="005E2536" w:rsidRPr="00C81216" w:rsidRDefault="005E2536" w:rsidP="00D63418">
            <w:pPr>
              <w:pStyle w:val="Para0-2"/>
              <w:ind w:left="0" w:firstLine="0"/>
              <w:rPr>
                <w:rFonts w:asciiTheme="minorHAnsi" w:hAnsiTheme="minorHAnsi" w:cstheme="minorHAnsi"/>
                <w:b/>
                <w:bCs/>
                <w:sz w:val="22"/>
                <w:szCs w:val="22"/>
              </w:rPr>
            </w:pPr>
            <w:r w:rsidRPr="00C81216">
              <w:rPr>
                <w:rFonts w:asciiTheme="minorHAnsi" w:hAnsiTheme="minorHAnsi" w:cstheme="minorHAnsi"/>
                <w:b/>
                <w:bCs/>
                <w:sz w:val="22"/>
                <w:szCs w:val="22"/>
              </w:rPr>
              <w:t>“Security Notice”</w:t>
            </w:r>
          </w:p>
          <w:p w14:paraId="20D36E68" w14:textId="77777777" w:rsidR="005E2536" w:rsidRPr="00C81216" w:rsidRDefault="005E2536" w:rsidP="007A3A45">
            <w:pPr>
              <w:pStyle w:val="Para0-2"/>
              <w:ind w:left="0" w:firstLine="0"/>
              <w:rPr>
                <w:rFonts w:asciiTheme="minorHAnsi" w:hAnsiTheme="minorHAnsi" w:cstheme="minorHAnsi"/>
                <w:b/>
                <w:bCs/>
                <w:sz w:val="22"/>
                <w:szCs w:val="22"/>
              </w:rPr>
            </w:pPr>
          </w:p>
        </w:tc>
        <w:tc>
          <w:tcPr>
            <w:tcW w:w="4994" w:type="dxa"/>
          </w:tcPr>
          <w:p w14:paraId="6A3F5489" w14:textId="3F80CC14" w:rsidR="005E2536" w:rsidRPr="00C81216" w:rsidRDefault="005E2536" w:rsidP="007A3A45">
            <w:pPr>
              <w:pStyle w:val="Para0-2"/>
              <w:ind w:left="0" w:firstLine="0"/>
              <w:rPr>
                <w:rFonts w:asciiTheme="minorHAnsi" w:hAnsiTheme="minorHAnsi" w:cstheme="minorHAnsi"/>
                <w:sz w:val="22"/>
                <w:szCs w:val="22"/>
              </w:rPr>
            </w:pPr>
            <w:r w:rsidRPr="00C81216">
              <w:rPr>
                <w:rFonts w:asciiTheme="minorHAnsi" w:hAnsiTheme="minorHAnsi" w:cstheme="minorHAnsi"/>
                <w:sz w:val="22"/>
                <w:szCs w:val="22"/>
              </w:rPr>
              <w:t xml:space="preserve">a notice issued under paragraph 4 or 13 of this </w:t>
            </w:r>
            <w:r w:rsidR="00F3290C">
              <w:rPr>
                <w:rFonts w:asciiTheme="minorHAnsi" w:hAnsiTheme="minorHAnsi" w:cstheme="minorHAnsi"/>
                <w:sz w:val="22"/>
                <w:szCs w:val="22"/>
              </w:rPr>
              <w:t>Annex F</w:t>
            </w:r>
            <w:r w:rsidRPr="00C81216">
              <w:rPr>
                <w:rFonts w:asciiTheme="minorHAnsi" w:hAnsiTheme="minorHAnsi" w:cstheme="minorHAnsi"/>
                <w:sz w:val="22"/>
                <w:szCs w:val="22"/>
              </w:rPr>
              <w:t>;</w:t>
            </w:r>
          </w:p>
          <w:p w14:paraId="1A9AF3EC" w14:textId="77777777" w:rsidR="005E2536" w:rsidRPr="00C81216" w:rsidRDefault="005E2536" w:rsidP="00BE562E">
            <w:pPr>
              <w:pStyle w:val="Para0-2"/>
              <w:ind w:left="0" w:firstLine="0"/>
              <w:rPr>
                <w:rFonts w:asciiTheme="minorHAnsi" w:hAnsiTheme="minorHAnsi" w:cstheme="minorHAnsi"/>
                <w:sz w:val="22"/>
                <w:szCs w:val="22"/>
              </w:rPr>
            </w:pPr>
          </w:p>
        </w:tc>
      </w:tr>
      <w:tr w:rsidR="005E2536" w:rsidRPr="00C81216" w14:paraId="6FB5018E" w14:textId="77777777" w:rsidTr="002B3113">
        <w:tc>
          <w:tcPr>
            <w:tcW w:w="3420" w:type="dxa"/>
          </w:tcPr>
          <w:p w14:paraId="36E4017A" w14:textId="77777777" w:rsidR="005E2536" w:rsidRPr="00C81216" w:rsidRDefault="005E2536" w:rsidP="00D63418">
            <w:pPr>
              <w:pStyle w:val="Para0-2"/>
              <w:ind w:left="0" w:firstLine="0"/>
              <w:rPr>
                <w:rFonts w:asciiTheme="minorHAnsi" w:hAnsiTheme="minorHAnsi" w:cstheme="minorHAnsi"/>
                <w:b/>
                <w:bCs/>
                <w:sz w:val="22"/>
                <w:szCs w:val="22"/>
              </w:rPr>
            </w:pPr>
            <w:r w:rsidRPr="00C81216">
              <w:rPr>
                <w:rFonts w:asciiTheme="minorHAnsi" w:hAnsiTheme="minorHAnsi" w:cstheme="minorHAnsi"/>
                <w:b/>
                <w:bCs/>
                <w:sz w:val="22"/>
                <w:szCs w:val="22"/>
              </w:rPr>
              <w:t>“Set-off”</w:t>
            </w:r>
          </w:p>
          <w:p w14:paraId="64196E60" w14:textId="77777777" w:rsidR="005E2536" w:rsidRPr="00C81216" w:rsidRDefault="005E2536" w:rsidP="007A3A45">
            <w:pPr>
              <w:pStyle w:val="Para0-2"/>
              <w:ind w:left="0" w:firstLine="0"/>
              <w:rPr>
                <w:rFonts w:asciiTheme="minorHAnsi" w:hAnsiTheme="minorHAnsi" w:cstheme="minorHAnsi"/>
                <w:b/>
                <w:bCs/>
                <w:sz w:val="22"/>
                <w:szCs w:val="22"/>
              </w:rPr>
            </w:pPr>
          </w:p>
        </w:tc>
        <w:tc>
          <w:tcPr>
            <w:tcW w:w="4994" w:type="dxa"/>
          </w:tcPr>
          <w:p w14:paraId="3EAC3689" w14:textId="77777777" w:rsidR="005E2536" w:rsidRPr="00C81216" w:rsidRDefault="005E2536" w:rsidP="007A3A45">
            <w:pPr>
              <w:pStyle w:val="Para0-2"/>
              <w:ind w:left="0" w:firstLine="0"/>
              <w:rPr>
                <w:rFonts w:asciiTheme="minorHAnsi" w:hAnsiTheme="minorHAnsi" w:cstheme="minorHAnsi"/>
                <w:sz w:val="22"/>
                <w:szCs w:val="22"/>
              </w:rPr>
            </w:pPr>
            <w:r w:rsidRPr="00C81216">
              <w:rPr>
                <w:rFonts w:asciiTheme="minorHAnsi" w:hAnsiTheme="minorHAnsi" w:cstheme="minorHAnsi"/>
                <w:snapToGrid w:val="0"/>
                <w:sz w:val="22"/>
                <w:szCs w:val="22"/>
              </w:rPr>
              <w:t xml:space="preserve">an arrangement whereby a Party may set-off any debt or sum owing to that Party under the Agreement against invoices which are due or become due under this Agreement </w:t>
            </w:r>
            <w:r w:rsidRPr="00C81216">
              <w:rPr>
                <w:rFonts w:asciiTheme="minorHAnsi" w:hAnsiTheme="minorHAnsi" w:cstheme="minorHAnsi"/>
                <w:sz w:val="22"/>
                <w:szCs w:val="22"/>
              </w:rPr>
              <w:t xml:space="preserve">for the duration of the period during which security is requested. </w:t>
            </w:r>
          </w:p>
        </w:tc>
      </w:tr>
    </w:tbl>
    <w:p w14:paraId="20322B85" w14:textId="646ACCEE" w:rsidR="005E2536" w:rsidRPr="00C81216" w:rsidRDefault="005E2536" w:rsidP="00DF61AC">
      <w:pPr>
        <w:pStyle w:val="Para0-2"/>
        <w:rPr>
          <w:rFonts w:asciiTheme="minorHAnsi" w:hAnsiTheme="minorHAnsi" w:cstheme="minorHAnsi"/>
          <w:b/>
          <w:bCs/>
          <w:sz w:val="22"/>
          <w:szCs w:val="22"/>
        </w:rPr>
      </w:pPr>
      <w:r w:rsidRPr="00C81216">
        <w:rPr>
          <w:rFonts w:asciiTheme="minorHAnsi" w:hAnsiTheme="minorHAnsi" w:cstheme="minorHAnsi"/>
          <w:b/>
          <w:bCs/>
          <w:sz w:val="22"/>
          <w:szCs w:val="22"/>
        </w:rPr>
        <w:lastRenderedPageBreak/>
        <w:t>General</w:t>
      </w:r>
    </w:p>
    <w:p w14:paraId="3FBC3EEB" w14:textId="77777777" w:rsidR="005E2536" w:rsidRPr="00C81216" w:rsidRDefault="005E2536" w:rsidP="007A3A45">
      <w:pPr>
        <w:jc w:val="both"/>
        <w:rPr>
          <w:rFonts w:cstheme="minorHAnsi"/>
        </w:rPr>
      </w:pPr>
    </w:p>
    <w:p w14:paraId="33C6A0A7" w14:textId="77777777" w:rsidR="005E2536" w:rsidRPr="00C81216" w:rsidRDefault="005E2536" w:rsidP="00BE562E">
      <w:pPr>
        <w:pStyle w:val="BodyText0"/>
        <w:ind w:left="720" w:hanging="720"/>
        <w:rPr>
          <w:rFonts w:asciiTheme="minorHAnsi" w:hAnsiTheme="minorHAnsi" w:cstheme="minorHAnsi"/>
          <w:sz w:val="22"/>
          <w:szCs w:val="22"/>
        </w:rPr>
      </w:pPr>
      <w:r w:rsidRPr="00C81216">
        <w:rPr>
          <w:rFonts w:asciiTheme="minorHAnsi" w:hAnsiTheme="minorHAnsi" w:cstheme="minorHAnsi"/>
          <w:sz w:val="22"/>
          <w:szCs w:val="22"/>
        </w:rPr>
        <w:t xml:space="preserve">2.1 </w:t>
      </w:r>
      <w:r w:rsidRPr="00C81216">
        <w:rPr>
          <w:rFonts w:asciiTheme="minorHAnsi" w:hAnsiTheme="minorHAnsi" w:cstheme="minorHAnsi"/>
          <w:sz w:val="22"/>
          <w:szCs w:val="22"/>
        </w:rPr>
        <w:tab/>
        <w:t>If a Due Date for payment falls on other than a Working Day, payment shall be due on the previous Working Day.</w:t>
      </w:r>
    </w:p>
    <w:p w14:paraId="660DF3FE" w14:textId="77777777" w:rsidR="005E2536" w:rsidRPr="00C81216" w:rsidRDefault="005E2536" w:rsidP="006E48E1">
      <w:pPr>
        <w:ind w:left="720" w:hanging="720"/>
        <w:jc w:val="both"/>
        <w:rPr>
          <w:rFonts w:cstheme="minorHAnsi"/>
        </w:rPr>
      </w:pPr>
    </w:p>
    <w:p w14:paraId="4056427F" w14:textId="77777777" w:rsidR="005E2536" w:rsidRPr="00C81216" w:rsidRDefault="005E2536" w:rsidP="005E535E">
      <w:pPr>
        <w:ind w:left="720" w:hanging="720"/>
        <w:jc w:val="both"/>
        <w:rPr>
          <w:rFonts w:cstheme="minorHAnsi"/>
        </w:rPr>
      </w:pPr>
      <w:r w:rsidRPr="00C81216">
        <w:rPr>
          <w:rFonts w:cstheme="minorHAnsi"/>
        </w:rPr>
        <w:t>2.2</w:t>
      </w:r>
      <w:r w:rsidRPr="00C81216">
        <w:rPr>
          <w:rFonts w:cstheme="minorHAnsi"/>
        </w:rPr>
        <w:tab/>
        <w:t>References to “sum(s) due” shall be deemed to exclude any sums which are the subject of an invoice dispute under paragraph 5.2.2 of Annex B.</w:t>
      </w:r>
    </w:p>
    <w:p w14:paraId="4841D934" w14:textId="77777777" w:rsidR="005E2536" w:rsidRPr="00C81216" w:rsidRDefault="005E2536" w:rsidP="006A687D">
      <w:pPr>
        <w:pStyle w:val="Header"/>
        <w:tabs>
          <w:tab w:val="clear" w:pos="4153"/>
          <w:tab w:val="clear" w:pos="8306"/>
        </w:tabs>
        <w:jc w:val="both"/>
        <w:rPr>
          <w:rFonts w:asciiTheme="minorHAnsi" w:hAnsiTheme="minorHAnsi" w:cstheme="minorHAnsi"/>
          <w:sz w:val="22"/>
          <w:szCs w:val="22"/>
        </w:rPr>
      </w:pPr>
    </w:p>
    <w:p w14:paraId="21367C48" w14:textId="250528A6" w:rsidR="005E2536" w:rsidRPr="00C81216" w:rsidRDefault="005E2536" w:rsidP="001D1954">
      <w:pPr>
        <w:pStyle w:val="Para0-2"/>
        <w:rPr>
          <w:rFonts w:asciiTheme="minorHAnsi" w:hAnsiTheme="minorHAnsi" w:cstheme="minorHAnsi"/>
          <w:b/>
          <w:bCs/>
          <w:sz w:val="22"/>
          <w:szCs w:val="22"/>
        </w:rPr>
      </w:pPr>
      <w:r w:rsidRPr="00C81216">
        <w:rPr>
          <w:rFonts w:asciiTheme="minorHAnsi" w:hAnsiTheme="minorHAnsi" w:cstheme="minorHAnsi"/>
          <w:b/>
          <w:bCs/>
          <w:sz w:val="22"/>
          <w:szCs w:val="22"/>
        </w:rPr>
        <w:t>BT: Credit Management Activity</w:t>
      </w:r>
    </w:p>
    <w:p w14:paraId="424A8835" w14:textId="77777777" w:rsidR="005E2536" w:rsidRPr="00C81216" w:rsidRDefault="005E2536" w:rsidP="001D1954">
      <w:pPr>
        <w:jc w:val="both"/>
        <w:rPr>
          <w:rFonts w:cstheme="minorHAnsi"/>
        </w:rPr>
      </w:pPr>
    </w:p>
    <w:p w14:paraId="40583FFB" w14:textId="7D8481F7" w:rsidR="005E2536" w:rsidRPr="00C81216" w:rsidRDefault="005E2536" w:rsidP="006E48E1">
      <w:pPr>
        <w:ind w:left="720" w:hanging="720"/>
        <w:jc w:val="both"/>
        <w:rPr>
          <w:rFonts w:cstheme="minorHAnsi"/>
        </w:rPr>
      </w:pPr>
      <w:r w:rsidRPr="00C81216">
        <w:rPr>
          <w:rFonts w:cstheme="minorHAnsi"/>
        </w:rPr>
        <w:t xml:space="preserve">3.1 </w:t>
      </w:r>
      <w:r w:rsidRPr="00C81216">
        <w:rPr>
          <w:rFonts w:cstheme="minorHAnsi"/>
        </w:rPr>
        <w:tab/>
        <w:t xml:space="preserve">Subject to the provisions of this </w:t>
      </w:r>
      <w:r w:rsidR="00F3290C">
        <w:rPr>
          <w:rFonts w:cstheme="minorHAnsi"/>
        </w:rPr>
        <w:t>Annex F</w:t>
      </w:r>
      <w:r w:rsidRPr="00C81216">
        <w:rPr>
          <w:rFonts w:cstheme="minorHAnsi"/>
        </w:rPr>
        <w:t xml:space="preserve"> and the BT SIA</w:t>
      </w:r>
      <w:r w:rsidR="00D64150">
        <w:rPr>
          <w:rFonts w:cstheme="minorHAnsi"/>
        </w:rPr>
        <w:t>/SIPIA</w:t>
      </w:r>
      <w:r w:rsidRPr="00C81216">
        <w:rPr>
          <w:rFonts w:cstheme="minorHAnsi"/>
        </w:rPr>
        <w:t xml:space="preserve"> Credit Policy, BT shall be entitled to Credit Vet, apply a Credit Limit and to Profile Monitor and apply a Profile Monitoring Limit to the Operator under this Agreement if</w:t>
      </w:r>
    </w:p>
    <w:p w14:paraId="270487EA" w14:textId="6A3322EA" w:rsidR="005E2536" w:rsidRPr="00C81216" w:rsidRDefault="005E2536" w:rsidP="00577123">
      <w:pPr>
        <w:ind w:left="1418" w:hanging="567"/>
        <w:jc w:val="both"/>
        <w:rPr>
          <w:rFonts w:cstheme="minorHAnsi"/>
        </w:rPr>
      </w:pPr>
      <w:r w:rsidRPr="00C81216">
        <w:rPr>
          <w:rFonts w:cstheme="minorHAnsi"/>
        </w:rPr>
        <w:t>3.1.1</w:t>
      </w:r>
      <w:r w:rsidRPr="00C81216">
        <w:rPr>
          <w:rFonts w:cstheme="minorHAnsi"/>
        </w:rPr>
        <w:tab/>
        <w:t xml:space="preserve"> the Operator entered into this Agreement with BT after 30  April 2004; or</w:t>
      </w:r>
    </w:p>
    <w:p w14:paraId="47F560C2" w14:textId="77777777" w:rsidR="005E2536" w:rsidRPr="00C81216" w:rsidRDefault="005E2536" w:rsidP="00577123">
      <w:pPr>
        <w:ind w:left="1418" w:hanging="567"/>
        <w:jc w:val="both"/>
        <w:rPr>
          <w:rFonts w:cstheme="minorHAnsi"/>
        </w:rPr>
      </w:pPr>
      <w:r w:rsidRPr="00C81216">
        <w:rPr>
          <w:rFonts w:cstheme="minorHAnsi"/>
        </w:rPr>
        <w:t xml:space="preserve">3.1.2 </w:t>
      </w:r>
      <w:r w:rsidRPr="00C81216">
        <w:rPr>
          <w:rFonts w:cstheme="minorHAnsi"/>
        </w:rPr>
        <w:tab/>
        <w:t>the Operator has received two valid Security Notices from BT in respect of any 12 months’ period, and there has been a subsequent Credit Vet of the Operator which is Adverse.</w:t>
      </w:r>
    </w:p>
    <w:p w14:paraId="7B5F8006" w14:textId="063C97C9" w:rsidR="005E2536" w:rsidRPr="00C81216" w:rsidRDefault="005E2536" w:rsidP="00577123">
      <w:pPr>
        <w:pStyle w:val="BodyText20"/>
        <w:spacing w:line="240" w:lineRule="auto"/>
        <w:jc w:val="both"/>
        <w:rPr>
          <w:rFonts w:cstheme="minorHAnsi"/>
        </w:rPr>
      </w:pPr>
      <w:r w:rsidRPr="00C81216">
        <w:rPr>
          <w:rFonts w:cstheme="minorHAnsi"/>
        </w:rPr>
        <w:t xml:space="preserve">3.2 </w:t>
      </w:r>
      <w:r w:rsidRPr="00C81216">
        <w:rPr>
          <w:rFonts w:cstheme="minorHAnsi"/>
        </w:rPr>
        <w:tab/>
        <w:t xml:space="preserve">Subject to the provisions of this </w:t>
      </w:r>
      <w:r w:rsidR="00F3290C">
        <w:rPr>
          <w:rFonts w:cstheme="minorHAnsi"/>
        </w:rPr>
        <w:t>Annex F</w:t>
      </w:r>
      <w:r w:rsidRPr="00C81216">
        <w:rPr>
          <w:rFonts w:cstheme="minorHAnsi"/>
        </w:rPr>
        <w:t>, BT shall be entitled to apply a Profile Monitoring Limit to the Operator under this Agreement if the Operator has received two valid Payment Period Notices in respect of any 6 months’ period.  A Security Notice issued under paragraph 4.1, shall also be deemed a Payment Period Notice for the purposes of this paragraph 3.</w:t>
      </w:r>
    </w:p>
    <w:p w14:paraId="19BF5F0B" w14:textId="77777777" w:rsidR="005E2536" w:rsidRPr="00C81216" w:rsidRDefault="005E2536" w:rsidP="00577123">
      <w:pPr>
        <w:pStyle w:val="BodyText20"/>
        <w:spacing w:line="240" w:lineRule="auto"/>
        <w:jc w:val="both"/>
        <w:rPr>
          <w:rFonts w:cstheme="minorHAnsi"/>
        </w:rPr>
      </w:pPr>
    </w:p>
    <w:p w14:paraId="5DADDC05" w14:textId="6DC08818" w:rsidR="005E2536" w:rsidRDefault="005E2536" w:rsidP="00577123">
      <w:pPr>
        <w:pStyle w:val="BodyText20"/>
        <w:spacing w:line="240" w:lineRule="auto"/>
        <w:jc w:val="both"/>
        <w:rPr>
          <w:rFonts w:cstheme="minorHAnsi"/>
        </w:rPr>
      </w:pPr>
      <w:r w:rsidRPr="00C81216">
        <w:rPr>
          <w:rFonts w:cstheme="minorHAnsi"/>
        </w:rPr>
        <w:t xml:space="preserve">3.3 </w:t>
      </w:r>
      <w:r w:rsidRPr="00C81216">
        <w:rPr>
          <w:rFonts w:cstheme="minorHAnsi"/>
        </w:rPr>
        <w:tab/>
        <w:t>Pursuant to paragraphs 3.1 and 3.2, in respect of the same calendar month BT may issue, as appropriate, either a single Payment Period Notice or a single Security Notice, but not both.</w:t>
      </w:r>
    </w:p>
    <w:p w14:paraId="0E32038C" w14:textId="77777777" w:rsidR="00577123" w:rsidRPr="00C81216" w:rsidRDefault="00577123" w:rsidP="00577123">
      <w:pPr>
        <w:pStyle w:val="BodyText20"/>
        <w:spacing w:line="240" w:lineRule="auto"/>
        <w:jc w:val="both"/>
        <w:rPr>
          <w:rFonts w:cstheme="minorHAnsi"/>
        </w:rPr>
      </w:pPr>
    </w:p>
    <w:p w14:paraId="04BC818A" w14:textId="2EAF910B" w:rsidR="005E2536" w:rsidRDefault="005E2536" w:rsidP="00577123">
      <w:pPr>
        <w:pStyle w:val="BodyText20"/>
        <w:spacing w:line="240" w:lineRule="auto"/>
        <w:jc w:val="both"/>
        <w:rPr>
          <w:rFonts w:cstheme="minorHAnsi"/>
        </w:rPr>
      </w:pPr>
      <w:r w:rsidRPr="00C81216">
        <w:rPr>
          <w:rFonts w:cstheme="minorHAnsi"/>
        </w:rPr>
        <w:t xml:space="preserve">3.4 </w:t>
      </w:r>
      <w:r w:rsidRPr="00C81216">
        <w:rPr>
          <w:rFonts w:cstheme="minorHAnsi"/>
        </w:rPr>
        <w:tab/>
        <w:t xml:space="preserve">BT’s entitlement to continue to apply credit management action under paragraphs 3.1 and 3.2 shall continue until payment of sums due not later than 7 calendar days after the Due Date (as defined in Annex D, or as described in this </w:t>
      </w:r>
      <w:r w:rsidR="00F3290C">
        <w:rPr>
          <w:rFonts w:cstheme="minorHAnsi"/>
        </w:rPr>
        <w:t>Annex F</w:t>
      </w:r>
      <w:r w:rsidRPr="00C81216">
        <w:rPr>
          <w:rFonts w:cstheme="minorHAnsi"/>
        </w:rPr>
        <w:t xml:space="preserve"> for the purposes of this </w:t>
      </w:r>
      <w:r w:rsidR="00F3290C">
        <w:rPr>
          <w:rFonts w:cstheme="minorHAnsi"/>
        </w:rPr>
        <w:t>Annex F</w:t>
      </w:r>
      <w:r w:rsidRPr="00C81216">
        <w:rPr>
          <w:rFonts w:cstheme="minorHAnsi"/>
        </w:rPr>
        <w:t xml:space="preserve">) for 12 consecutive calendar months (other than a sum or sums due in any such month which sums do not exceed 25% of the relevant Operator </w:t>
      </w:r>
      <w:r w:rsidR="00E629DC">
        <w:rPr>
          <w:rFonts w:cstheme="minorHAnsi"/>
        </w:rPr>
        <w:t>C</w:t>
      </w:r>
      <w:r w:rsidRPr="00C81216">
        <w:rPr>
          <w:rFonts w:cstheme="minorHAnsi"/>
        </w:rPr>
        <w:t xml:space="preserve">alendar </w:t>
      </w:r>
      <w:r w:rsidR="00E629DC">
        <w:rPr>
          <w:rFonts w:cstheme="minorHAnsi"/>
        </w:rPr>
        <w:t>M</w:t>
      </w:r>
      <w:r w:rsidR="00E629DC" w:rsidRPr="00C81216">
        <w:rPr>
          <w:rFonts w:cstheme="minorHAnsi"/>
        </w:rPr>
        <w:t xml:space="preserve">onth </w:t>
      </w:r>
      <w:r w:rsidR="00E629DC">
        <w:rPr>
          <w:rFonts w:cstheme="minorHAnsi"/>
        </w:rPr>
        <w:t>I</w:t>
      </w:r>
      <w:r w:rsidR="00E629DC" w:rsidRPr="00C81216">
        <w:rPr>
          <w:rFonts w:cstheme="minorHAnsi"/>
        </w:rPr>
        <w:t xml:space="preserve">nvoice </w:t>
      </w:r>
      <w:r w:rsidR="00E629DC">
        <w:rPr>
          <w:rFonts w:cstheme="minorHAnsi"/>
        </w:rPr>
        <w:t>S</w:t>
      </w:r>
      <w:r w:rsidRPr="00C81216">
        <w:rPr>
          <w:rFonts w:cstheme="minorHAnsi"/>
        </w:rPr>
        <w:t>um(s) for such months).</w:t>
      </w:r>
    </w:p>
    <w:p w14:paraId="457FBC16" w14:textId="77777777" w:rsidR="00577123" w:rsidRPr="00C81216" w:rsidRDefault="00577123" w:rsidP="00577123">
      <w:pPr>
        <w:pStyle w:val="BodyText20"/>
        <w:spacing w:line="240" w:lineRule="auto"/>
        <w:jc w:val="both"/>
        <w:rPr>
          <w:rFonts w:cstheme="minorHAnsi"/>
        </w:rPr>
      </w:pPr>
    </w:p>
    <w:p w14:paraId="0AD7D025" w14:textId="07CFA658" w:rsidR="005E2536" w:rsidRPr="00C81216" w:rsidRDefault="005E2536" w:rsidP="00577123">
      <w:pPr>
        <w:pStyle w:val="BodyText20"/>
        <w:spacing w:line="240" w:lineRule="auto"/>
        <w:jc w:val="both"/>
        <w:rPr>
          <w:rFonts w:cstheme="minorHAnsi"/>
        </w:rPr>
      </w:pPr>
      <w:r w:rsidRPr="00C81216">
        <w:rPr>
          <w:rFonts w:cstheme="minorHAnsi"/>
        </w:rPr>
        <w:t xml:space="preserve">3.5 </w:t>
      </w:r>
      <w:r w:rsidRPr="00C81216">
        <w:rPr>
          <w:rFonts w:cstheme="minorHAnsi"/>
        </w:rPr>
        <w:tab/>
        <w:t xml:space="preserve">The Operator may supply audited financial information and/or other data, and/or </w:t>
      </w:r>
      <w:r w:rsidR="00B1188D">
        <w:rPr>
          <w:rFonts w:cstheme="minorHAnsi"/>
        </w:rPr>
        <w:t>C</w:t>
      </w:r>
      <w:r w:rsidRPr="00C81216">
        <w:rPr>
          <w:rFonts w:cstheme="minorHAnsi"/>
        </w:rPr>
        <w:t xml:space="preserve">redit </w:t>
      </w:r>
      <w:r w:rsidR="00B1188D">
        <w:rPr>
          <w:rFonts w:cstheme="minorHAnsi"/>
        </w:rPr>
        <w:t>V</w:t>
      </w:r>
      <w:r w:rsidR="00B1188D" w:rsidRPr="00C81216">
        <w:rPr>
          <w:rFonts w:cstheme="minorHAnsi"/>
        </w:rPr>
        <w:t xml:space="preserve">et </w:t>
      </w:r>
      <w:r w:rsidRPr="00C81216">
        <w:rPr>
          <w:rFonts w:cstheme="minorHAnsi"/>
        </w:rPr>
        <w:t>reports from one of the external agencies listed in the BT SIA</w:t>
      </w:r>
      <w:r w:rsidR="00D64150">
        <w:rPr>
          <w:rFonts w:cstheme="minorHAnsi"/>
        </w:rPr>
        <w:t>/SIPIA</w:t>
      </w:r>
      <w:r w:rsidRPr="00C81216">
        <w:rPr>
          <w:rFonts w:cstheme="minorHAnsi"/>
        </w:rPr>
        <w:t xml:space="preserve"> Credit Policy (or another equivalent external agency), in connection with any BT Credit Vet or appeal by the Operator under this Annex, and BT shall consider such information in good faith.</w:t>
      </w:r>
    </w:p>
    <w:p w14:paraId="1458C57B" w14:textId="77777777" w:rsidR="005E2536" w:rsidRPr="00C81216" w:rsidRDefault="005E2536" w:rsidP="00577123">
      <w:pPr>
        <w:pStyle w:val="BodyText20"/>
        <w:spacing w:line="240" w:lineRule="auto"/>
        <w:jc w:val="both"/>
        <w:rPr>
          <w:rFonts w:cstheme="minorHAnsi"/>
        </w:rPr>
      </w:pPr>
    </w:p>
    <w:p w14:paraId="2C9CAF57" w14:textId="76BEF934" w:rsidR="005E2536" w:rsidRPr="00C81216" w:rsidRDefault="005E2536" w:rsidP="00577123">
      <w:pPr>
        <w:pStyle w:val="BodyText20"/>
        <w:spacing w:line="240" w:lineRule="auto"/>
        <w:jc w:val="both"/>
        <w:rPr>
          <w:rFonts w:cstheme="minorHAnsi"/>
        </w:rPr>
      </w:pPr>
      <w:r w:rsidRPr="00C81216">
        <w:rPr>
          <w:rFonts w:cstheme="minorHAnsi"/>
        </w:rPr>
        <w:t xml:space="preserve">3.6 </w:t>
      </w:r>
      <w:r w:rsidRPr="00C81216">
        <w:rPr>
          <w:rFonts w:cstheme="minorHAnsi"/>
        </w:rPr>
        <w:tab/>
        <w:t xml:space="preserve">In the event of inconsistency between this </w:t>
      </w:r>
      <w:r w:rsidR="00F3290C">
        <w:rPr>
          <w:rFonts w:cstheme="minorHAnsi"/>
        </w:rPr>
        <w:t>Annex F</w:t>
      </w:r>
      <w:r w:rsidRPr="00C81216">
        <w:rPr>
          <w:rFonts w:cstheme="minorHAnsi"/>
        </w:rPr>
        <w:t xml:space="preserve"> and the BT SIA</w:t>
      </w:r>
      <w:r w:rsidR="00D64150">
        <w:rPr>
          <w:rFonts w:cstheme="minorHAnsi"/>
        </w:rPr>
        <w:t>/SIPIA</w:t>
      </w:r>
      <w:r w:rsidRPr="00C81216">
        <w:rPr>
          <w:rFonts w:cstheme="minorHAnsi"/>
        </w:rPr>
        <w:t xml:space="preserve"> Credit Policy, the provisions of this </w:t>
      </w:r>
      <w:r w:rsidR="00F3290C">
        <w:rPr>
          <w:rFonts w:cstheme="minorHAnsi"/>
        </w:rPr>
        <w:t>Annex F</w:t>
      </w:r>
      <w:r w:rsidRPr="00C81216">
        <w:rPr>
          <w:rFonts w:cstheme="minorHAnsi"/>
        </w:rPr>
        <w:t xml:space="preserve"> shall have precedence.</w:t>
      </w:r>
    </w:p>
    <w:p w14:paraId="102AEF4D" w14:textId="77777777" w:rsidR="00CA486E" w:rsidRDefault="00CA486E" w:rsidP="00577123">
      <w:pPr>
        <w:pStyle w:val="Para0-2"/>
        <w:rPr>
          <w:rFonts w:asciiTheme="minorHAnsi" w:hAnsiTheme="minorHAnsi" w:cstheme="minorHAnsi"/>
          <w:b/>
          <w:bCs/>
          <w:sz w:val="22"/>
          <w:szCs w:val="22"/>
        </w:rPr>
      </w:pPr>
    </w:p>
    <w:p w14:paraId="427BCDEE" w14:textId="77777777" w:rsidR="00CA486E" w:rsidRDefault="00CA486E" w:rsidP="00577123">
      <w:pPr>
        <w:pStyle w:val="Para0-2"/>
        <w:rPr>
          <w:rFonts w:asciiTheme="minorHAnsi" w:hAnsiTheme="minorHAnsi" w:cstheme="minorHAnsi"/>
          <w:b/>
          <w:bCs/>
          <w:sz w:val="22"/>
          <w:szCs w:val="22"/>
        </w:rPr>
      </w:pPr>
    </w:p>
    <w:p w14:paraId="3C6CFE2E" w14:textId="77777777" w:rsidR="00CA486E" w:rsidRDefault="00CA486E" w:rsidP="00577123">
      <w:pPr>
        <w:pStyle w:val="Para0-2"/>
        <w:rPr>
          <w:rFonts w:asciiTheme="minorHAnsi" w:hAnsiTheme="minorHAnsi" w:cstheme="minorHAnsi"/>
          <w:b/>
          <w:bCs/>
          <w:sz w:val="22"/>
          <w:szCs w:val="22"/>
        </w:rPr>
      </w:pPr>
    </w:p>
    <w:p w14:paraId="4868003E" w14:textId="77777777" w:rsidR="00CA486E" w:rsidRDefault="00CA486E" w:rsidP="00577123">
      <w:pPr>
        <w:pStyle w:val="Para0-2"/>
        <w:rPr>
          <w:rFonts w:asciiTheme="minorHAnsi" w:hAnsiTheme="minorHAnsi" w:cstheme="minorHAnsi"/>
          <w:b/>
          <w:bCs/>
          <w:sz w:val="22"/>
          <w:szCs w:val="22"/>
        </w:rPr>
      </w:pPr>
    </w:p>
    <w:p w14:paraId="0DB264A5" w14:textId="3C5FF5DD" w:rsidR="005E2536" w:rsidRPr="00C81216" w:rsidRDefault="005E2536" w:rsidP="00577123">
      <w:pPr>
        <w:pStyle w:val="Para0-2"/>
        <w:rPr>
          <w:rFonts w:asciiTheme="minorHAnsi" w:hAnsiTheme="minorHAnsi" w:cstheme="minorHAnsi"/>
          <w:b/>
          <w:bCs/>
          <w:sz w:val="22"/>
          <w:szCs w:val="22"/>
        </w:rPr>
      </w:pPr>
      <w:r w:rsidRPr="00C81216">
        <w:rPr>
          <w:rFonts w:asciiTheme="minorHAnsi" w:hAnsiTheme="minorHAnsi" w:cstheme="minorHAnsi"/>
          <w:b/>
          <w:bCs/>
          <w:sz w:val="22"/>
          <w:szCs w:val="22"/>
        </w:rPr>
        <w:lastRenderedPageBreak/>
        <w:t>BT: Security Notices</w:t>
      </w:r>
    </w:p>
    <w:p w14:paraId="3C227DE1" w14:textId="77777777" w:rsidR="00CA486E" w:rsidRDefault="00CA486E" w:rsidP="00577123">
      <w:pPr>
        <w:pStyle w:val="BodyText20"/>
        <w:spacing w:line="240" w:lineRule="auto"/>
        <w:jc w:val="both"/>
        <w:rPr>
          <w:rFonts w:cstheme="minorHAnsi"/>
        </w:rPr>
      </w:pPr>
    </w:p>
    <w:p w14:paraId="17ED2A5B" w14:textId="0987DC7E" w:rsidR="005E2536" w:rsidRPr="00C81216" w:rsidRDefault="005E2536" w:rsidP="00577123">
      <w:pPr>
        <w:pStyle w:val="BodyText20"/>
        <w:spacing w:line="240" w:lineRule="auto"/>
        <w:jc w:val="both"/>
        <w:rPr>
          <w:rFonts w:cstheme="minorHAnsi"/>
        </w:rPr>
      </w:pPr>
      <w:r w:rsidRPr="00C81216">
        <w:rPr>
          <w:rFonts w:cstheme="minorHAnsi"/>
        </w:rPr>
        <w:t xml:space="preserve">4.1 </w:t>
      </w:r>
      <w:r w:rsidRPr="00C81216">
        <w:rPr>
          <w:rFonts w:cstheme="minorHAnsi"/>
        </w:rPr>
        <w:tab/>
        <w:t xml:space="preserve">Without prejudice to any other rights or remedies available to BT under this Agreement, if in respect of any calendar month a sum or sums due payable by the Operator which sums exceed 25% of the respective Operator </w:t>
      </w:r>
      <w:r w:rsidR="00E629DC">
        <w:rPr>
          <w:rFonts w:cstheme="minorHAnsi"/>
        </w:rPr>
        <w:t>C</w:t>
      </w:r>
      <w:r w:rsidRPr="00C81216">
        <w:rPr>
          <w:rFonts w:cstheme="minorHAnsi"/>
        </w:rPr>
        <w:t xml:space="preserve">alendar </w:t>
      </w:r>
      <w:r w:rsidR="00E629DC">
        <w:rPr>
          <w:rFonts w:cstheme="minorHAnsi"/>
        </w:rPr>
        <w:t>M</w:t>
      </w:r>
      <w:r w:rsidRPr="00C81216">
        <w:rPr>
          <w:rFonts w:cstheme="minorHAnsi"/>
        </w:rPr>
        <w:t xml:space="preserve">onth </w:t>
      </w:r>
      <w:r w:rsidR="00E629DC">
        <w:rPr>
          <w:rFonts w:cstheme="minorHAnsi"/>
        </w:rPr>
        <w:t>I</w:t>
      </w:r>
      <w:r w:rsidRPr="00C81216">
        <w:rPr>
          <w:rFonts w:cstheme="minorHAnsi"/>
        </w:rPr>
        <w:t xml:space="preserve">nvoice </w:t>
      </w:r>
      <w:r w:rsidR="00E629DC">
        <w:rPr>
          <w:rFonts w:cstheme="minorHAnsi"/>
        </w:rPr>
        <w:t>S</w:t>
      </w:r>
      <w:r w:rsidR="00E629DC" w:rsidRPr="00C81216">
        <w:rPr>
          <w:rFonts w:cstheme="minorHAnsi"/>
        </w:rPr>
        <w:t>um</w:t>
      </w:r>
      <w:r w:rsidRPr="00C81216">
        <w:rPr>
          <w:rFonts w:cstheme="minorHAnsi"/>
        </w:rPr>
        <w:t xml:space="preserve">(s) remain(s) outstanding on a date 15 calendar days after the relevant Due Date(s), BT may serve a Security Notice to the Operator not later than 90 calendar days from the end of the calendar month for the relevant </w:t>
      </w:r>
      <w:r w:rsidR="00E629DC">
        <w:rPr>
          <w:rFonts w:cstheme="minorHAnsi"/>
        </w:rPr>
        <w:t>C</w:t>
      </w:r>
      <w:r w:rsidRPr="00C81216">
        <w:rPr>
          <w:rFonts w:cstheme="minorHAnsi"/>
        </w:rPr>
        <w:t xml:space="preserve">alendar </w:t>
      </w:r>
      <w:r w:rsidR="00E629DC">
        <w:rPr>
          <w:rFonts w:cstheme="minorHAnsi"/>
        </w:rPr>
        <w:t>M</w:t>
      </w:r>
      <w:r w:rsidR="00E629DC" w:rsidRPr="00C81216">
        <w:rPr>
          <w:rFonts w:cstheme="minorHAnsi"/>
        </w:rPr>
        <w:t xml:space="preserve">onth </w:t>
      </w:r>
      <w:r w:rsidR="00E629DC">
        <w:rPr>
          <w:rFonts w:cstheme="minorHAnsi"/>
        </w:rPr>
        <w:t>I</w:t>
      </w:r>
      <w:r w:rsidR="00E629DC" w:rsidRPr="00C81216">
        <w:rPr>
          <w:rFonts w:cstheme="minorHAnsi"/>
        </w:rPr>
        <w:t xml:space="preserve">nvoice </w:t>
      </w:r>
      <w:r w:rsidR="00E629DC">
        <w:rPr>
          <w:rFonts w:cstheme="minorHAnsi"/>
        </w:rPr>
        <w:t>S</w:t>
      </w:r>
      <w:r w:rsidR="00E629DC" w:rsidRPr="00C81216">
        <w:rPr>
          <w:rFonts w:cstheme="minorHAnsi"/>
        </w:rPr>
        <w:t>um</w:t>
      </w:r>
      <w:r w:rsidRPr="00C81216">
        <w:rPr>
          <w:rFonts w:cstheme="minorHAnsi"/>
        </w:rPr>
        <w:t xml:space="preserve">. </w:t>
      </w:r>
    </w:p>
    <w:p w14:paraId="007E99BD" w14:textId="77777777" w:rsidR="005E2536" w:rsidRPr="00C81216" w:rsidRDefault="005E2536" w:rsidP="00577123">
      <w:pPr>
        <w:pStyle w:val="BodyText20"/>
        <w:spacing w:line="240" w:lineRule="auto"/>
        <w:jc w:val="both"/>
        <w:rPr>
          <w:rFonts w:cstheme="minorHAnsi"/>
        </w:rPr>
      </w:pPr>
    </w:p>
    <w:p w14:paraId="13DC8F60" w14:textId="77777777" w:rsidR="005E2536" w:rsidRPr="00C81216" w:rsidRDefault="005E2536" w:rsidP="00577123">
      <w:pPr>
        <w:pStyle w:val="BodyText20"/>
        <w:spacing w:line="240" w:lineRule="auto"/>
        <w:jc w:val="both"/>
        <w:rPr>
          <w:rFonts w:cstheme="minorHAnsi"/>
        </w:rPr>
      </w:pPr>
      <w:r w:rsidRPr="00C81216">
        <w:rPr>
          <w:rFonts w:cstheme="minorHAnsi"/>
        </w:rPr>
        <w:t xml:space="preserve">4.2 </w:t>
      </w:r>
      <w:r w:rsidRPr="00C81216">
        <w:rPr>
          <w:rFonts w:cstheme="minorHAnsi"/>
        </w:rPr>
        <w:tab/>
        <w:t>The Operator may appeal against the issue by BT of a Security Notice in accordance with paragraph 22.</w:t>
      </w:r>
    </w:p>
    <w:p w14:paraId="568D7B0A" w14:textId="77777777" w:rsidR="00CA486E" w:rsidRDefault="00CA486E" w:rsidP="00577123">
      <w:pPr>
        <w:pStyle w:val="BodyText20"/>
        <w:spacing w:line="240" w:lineRule="auto"/>
        <w:jc w:val="both"/>
        <w:rPr>
          <w:rFonts w:cstheme="minorHAnsi"/>
          <w:b/>
          <w:bCs/>
        </w:rPr>
      </w:pPr>
    </w:p>
    <w:p w14:paraId="19814D06" w14:textId="39B10159" w:rsidR="005E2536" w:rsidRPr="00C81216" w:rsidRDefault="005E2536" w:rsidP="00577123">
      <w:pPr>
        <w:pStyle w:val="BodyText20"/>
        <w:spacing w:line="240" w:lineRule="auto"/>
        <w:jc w:val="both"/>
        <w:rPr>
          <w:rFonts w:cstheme="minorHAnsi"/>
          <w:b/>
          <w:bCs/>
        </w:rPr>
      </w:pPr>
      <w:r w:rsidRPr="00C81216">
        <w:rPr>
          <w:rFonts w:cstheme="minorHAnsi"/>
          <w:b/>
          <w:bCs/>
        </w:rPr>
        <w:t>BT: Payment Period Notices</w:t>
      </w:r>
    </w:p>
    <w:p w14:paraId="1074A79A" w14:textId="77777777" w:rsidR="005E2536" w:rsidRPr="00C81216" w:rsidRDefault="005E2536" w:rsidP="00577123">
      <w:pPr>
        <w:pStyle w:val="BodyText20"/>
        <w:spacing w:line="240" w:lineRule="auto"/>
        <w:jc w:val="both"/>
        <w:rPr>
          <w:rFonts w:cstheme="minorHAnsi"/>
        </w:rPr>
      </w:pPr>
    </w:p>
    <w:p w14:paraId="664E748E" w14:textId="1940930B" w:rsidR="005E2536" w:rsidRPr="00C81216" w:rsidRDefault="005E2536" w:rsidP="00577123">
      <w:pPr>
        <w:pStyle w:val="BodyText20"/>
        <w:spacing w:line="240" w:lineRule="auto"/>
        <w:jc w:val="both"/>
        <w:rPr>
          <w:rFonts w:cstheme="minorHAnsi"/>
        </w:rPr>
      </w:pPr>
      <w:r w:rsidRPr="00C81216">
        <w:rPr>
          <w:rFonts w:cstheme="minorHAnsi"/>
        </w:rPr>
        <w:t xml:space="preserve">5.1 </w:t>
      </w:r>
      <w:r w:rsidRPr="00C81216">
        <w:rPr>
          <w:rFonts w:cstheme="minorHAnsi"/>
        </w:rPr>
        <w:tab/>
        <w:t xml:space="preserve">If in respect of any calendar month the Operator fails to pay a sum or sums due payable by the Operator, which sum(s) </w:t>
      </w:r>
      <w:r w:rsidR="009A112C">
        <w:rPr>
          <w:rFonts w:cstheme="minorHAnsi"/>
        </w:rPr>
        <w:t xml:space="preserve">is/are not in dispute, </w:t>
      </w:r>
      <w:r w:rsidRPr="00C81216">
        <w:rPr>
          <w:rFonts w:cstheme="minorHAnsi"/>
        </w:rPr>
        <w:t>exceed 25% of the respective</w:t>
      </w:r>
      <w:r w:rsidR="009A112C">
        <w:rPr>
          <w:rFonts w:cstheme="minorHAnsi"/>
        </w:rPr>
        <w:t xml:space="preserve"> undisputed</w:t>
      </w:r>
      <w:r w:rsidRPr="00C81216">
        <w:rPr>
          <w:rFonts w:cstheme="minorHAnsi"/>
        </w:rPr>
        <w:t xml:space="preserve"> </w:t>
      </w:r>
      <w:r w:rsidR="00CA1716">
        <w:rPr>
          <w:rFonts w:cstheme="minorHAnsi"/>
        </w:rPr>
        <w:t>C</w:t>
      </w:r>
      <w:r w:rsidRPr="00C81216">
        <w:rPr>
          <w:rFonts w:cstheme="minorHAnsi"/>
        </w:rPr>
        <w:t xml:space="preserve">alendar </w:t>
      </w:r>
      <w:r w:rsidR="00CA1716">
        <w:rPr>
          <w:rFonts w:cstheme="minorHAnsi"/>
        </w:rPr>
        <w:t>M</w:t>
      </w:r>
      <w:r w:rsidR="00CA1716" w:rsidRPr="00C81216">
        <w:rPr>
          <w:rFonts w:cstheme="minorHAnsi"/>
        </w:rPr>
        <w:t xml:space="preserve">onth </w:t>
      </w:r>
      <w:r w:rsidR="00CA1716">
        <w:rPr>
          <w:rFonts w:cstheme="minorHAnsi"/>
        </w:rPr>
        <w:t>I</w:t>
      </w:r>
      <w:r w:rsidR="00CA1716" w:rsidRPr="00C81216">
        <w:rPr>
          <w:rFonts w:cstheme="minorHAnsi"/>
        </w:rPr>
        <w:t xml:space="preserve">nvoice </w:t>
      </w:r>
      <w:r w:rsidR="00CA1716">
        <w:rPr>
          <w:rFonts w:cstheme="minorHAnsi"/>
        </w:rPr>
        <w:t>S</w:t>
      </w:r>
      <w:r w:rsidR="00CA1716" w:rsidRPr="00C81216">
        <w:rPr>
          <w:rFonts w:cstheme="minorHAnsi"/>
        </w:rPr>
        <w:t>um</w:t>
      </w:r>
      <w:r w:rsidRPr="00C81216">
        <w:rPr>
          <w:rFonts w:cstheme="minorHAnsi"/>
        </w:rPr>
        <w:t xml:space="preserve">, and which sum is outstanding more than 7 calendar days after the relevant Due Date(s), but is not outstanding on a date 15 calendar days after such Due Date(s), BT may serve a written Payment Period Notice to the Operator at any time but not later than 30 calendar days from the payment of such sums. </w:t>
      </w:r>
    </w:p>
    <w:p w14:paraId="6ADA5738" w14:textId="77777777" w:rsidR="005E2536" w:rsidRPr="00C81216" w:rsidRDefault="005E2536" w:rsidP="00577123">
      <w:pPr>
        <w:pStyle w:val="BodyText20"/>
        <w:spacing w:line="240" w:lineRule="auto"/>
        <w:jc w:val="both"/>
        <w:rPr>
          <w:rFonts w:cstheme="minorHAnsi"/>
        </w:rPr>
      </w:pPr>
    </w:p>
    <w:p w14:paraId="5550E997" w14:textId="77777777" w:rsidR="005E2536" w:rsidRPr="00C81216" w:rsidRDefault="005E2536" w:rsidP="00577123">
      <w:pPr>
        <w:pStyle w:val="BodyText20"/>
        <w:spacing w:line="240" w:lineRule="auto"/>
        <w:jc w:val="both"/>
        <w:rPr>
          <w:rFonts w:cstheme="minorHAnsi"/>
        </w:rPr>
      </w:pPr>
      <w:r w:rsidRPr="00C81216">
        <w:rPr>
          <w:rFonts w:cstheme="minorHAnsi"/>
        </w:rPr>
        <w:t xml:space="preserve">5.2 </w:t>
      </w:r>
      <w:r w:rsidRPr="00C81216">
        <w:rPr>
          <w:rFonts w:cstheme="minorHAnsi"/>
        </w:rPr>
        <w:tab/>
        <w:t>The Operator may appeal against the issue by BT of a Payment Period Notice in accordance with paragraph 22.</w:t>
      </w:r>
    </w:p>
    <w:p w14:paraId="1C1E3593" w14:textId="77777777" w:rsidR="005E2536" w:rsidRPr="00C81216" w:rsidRDefault="005E2536" w:rsidP="00577123">
      <w:pPr>
        <w:pStyle w:val="BodyText20"/>
        <w:spacing w:line="240" w:lineRule="auto"/>
        <w:jc w:val="both"/>
        <w:rPr>
          <w:rFonts w:cstheme="minorHAnsi"/>
        </w:rPr>
      </w:pPr>
    </w:p>
    <w:p w14:paraId="4DFA1B92" w14:textId="77777777" w:rsidR="005E2536" w:rsidRDefault="005E2536" w:rsidP="00577123">
      <w:pPr>
        <w:pStyle w:val="BodyText20"/>
        <w:spacing w:line="240" w:lineRule="auto"/>
        <w:jc w:val="both"/>
        <w:rPr>
          <w:rFonts w:cstheme="minorHAnsi"/>
          <w:b/>
          <w:bCs/>
        </w:rPr>
      </w:pPr>
      <w:r w:rsidRPr="00C81216">
        <w:rPr>
          <w:rFonts w:cstheme="minorHAnsi"/>
          <w:b/>
          <w:bCs/>
        </w:rPr>
        <w:t>BT: Credit Limit</w:t>
      </w:r>
    </w:p>
    <w:p w14:paraId="3D75C6E1" w14:textId="77777777" w:rsidR="00CA486E" w:rsidRPr="00C81216" w:rsidRDefault="00CA486E" w:rsidP="00577123">
      <w:pPr>
        <w:pStyle w:val="BodyText20"/>
        <w:spacing w:line="240" w:lineRule="auto"/>
        <w:jc w:val="both"/>
        <w:rPr>
          <w:rFonts w:cstheme="minorHAnsi"/>
          <w:b/>
          <w:bCs/>
        </w:rPr>
      </w:pPr>
    </w:p>
    <w:p w14:paraId="26486549" w14:textId="3C619BEF" w:rsidR="005E2536" w:rsidRPr="00C81216" w:rsidRDefault="005E2536" w:rsidP="00577123">
      <w:pPr>
        <w:pStyle w:val="BodyText20"/>
        <w:spacing w:line="240" w:lineRule="auto"/>
        <w:jc w:val="both"/>
        <w:rPr>
          <w:rFonts w:cstheme="minorHAnsi"/>
        </w:rPr>
      </w:pPr>
      <w:r w:rsidRPr="00C81216">
        <w:rPr>
          <w:rFonts w:cstheme="minorHAnsi"/>
        </w:rPr>
        <w:t xml:space="preserve">6.1 </w:t>
      </w:r>
      <w:r w:rsidRPr="00C81216">
        <w:rPr>
          <w:rFonts w:cstheme="minorHAnsi"/>
        </w:rPr>
        <w:tab/>
        <w:t>Under paragraph 3.1.1 or 3.1.2 BT shall set a Credit Limit for the Operator (under paragraph 3.1.2 subject to the Credit Vet being Adverse), and shall notify the Operator in writing of such Credit Limit and the level of security required for payment of monies arising under this Agreement, and the security type preferred by BT in accordance with the BT SIA</w:t>
      </w:r>
      <w:r w:rsidR="00D64150">
        <w:rPr>
          <w:rFonts w:cstheme="minorHAnsi"/>
        </w:rPr>
        <w:t>/SIPIA</w:t>
      </w:r>
      <w:r w:rsidRPr="00C81216">
        <w:rPr>
          <w:rFonts w:cstheme="minorHAnsi"/>
        </w:rPr>
        <w:t xml:space="preserve"> Credit Policy (Credit Limit Notice). Such notification shall include a summary of the Credit Vet information used in setting such Credit Limit, including:</w:t>
      </w:r>
    </w:p>
    <w:p w14:paraId="7ABEAD26" w14:textId="77777777" w:rsidR="00991383" w:rsidRPr="00C81216" w:rsidRDefault="005E2536" w:rsidP="00577123">
      <w:pPr>
        <w:pStyle w:val="BodyText20"/>
        <w:numPr>
          <w:ilvl w:val="1"/>
          <w:numId w:val="37"/>
        </w:numPr>
        <w:tabs>
          <w:tab w:val="num" w:pos="2160"/>
        </w:tabs>
        <w:spacing w:after="0" w:line="240" w:lineRule="auto"/>
        <w:jc w:val="both"/>
        <w:rPr>
          <w:rFonts w:cstheme="minorHAnsi"/>
        </w:rPr>
      </w:pPr>
      <w:r w:rsidRPr="00C81216">
        <w:rPr>
          <w:rFonts w:cstheme="minorHAnsi"/>
        </w:rPr>
        <w:t>source(s) of the external Credit Vet information;</w:t>
      </w:r>
    </w:p>
    <w:p w14:paraId="418DE0E2" w14:textId="6F6D48FD" w:rsidR="00991383" w:rsidRPr="00C81216" w:rsidRDefault="005E2536" w:rsidP="00577123">
      <w:pPr>
        <w:pStyle w:val="BodyText20"/>
        <w:numPr>
          <w:ilvl w:val="1"/>
          <w:numId w:val="37"/>
        </w:numPr>
        <w:tabs>
          <w:tab w:val="num" w:pos="2160"/>
        </w:tabs>
        <w:spacing w:after="0" w:line="240" w:lineRule="auto"/>
        <w:jc w:val="both"/>
        <w:rPr>
          <w:rFonts w:cstheme="minorHAnsi"/>
        </w:rPr>
      </w:pPr>
      <w:r w:rsidRPr="00C81216">
        <w:rPr>
          <w:rFonts w:cstheme="minorHAnsi"/>
        </w:rPr>
        <w:t>recommendation within such sources;</w:t>
      </w:r>
    </w:p>
    <w:p w14:paraId="7680B97B" w14:textId="36685023" w:rsidR="005E2536" w:rsidRPr="00C81216" w:rsidRDefault="005E2536" w:rsidP="00577123">
      <w:pPr>
        <w:pStyle w:val="BodyText20"/>
        <w:numPr>
          <w:ilvl w:val="1"/>
          <w:numId w:val="37"/>
        </w:numPr>
        <w:tabs>
          <w:tab w:val="num" w:pos="2160"/>
        </w:tabs>
        <w:spacing w:after="0" w:line="240" w:lineRule="auto"/>
        <w:jc w:val="both"/>
        <w:rPr>
          <w:rFonts w:cstheme="minorHAnsi"/>
        </w:rPr>
      </w:pPr>
      <w:r w:rsidRPr="00C81216">
        <w:rPr>
          <w:rFonts w:cstheme="minorHAnsi"/>
        </w:rPr>
        <w:t>summary of any BT internal Credit Vet report</w:t>
      </w:r>
    </w:p>
    <w:p w14:paraId="4358A682" w14:textId="77777777" w:rsidR="005E2536" w:rsidRPr="00C81216" w:rsidRDefault="005E2536" w:rsidP="00577123">
      <w:pPr>
        <w:pStyle w:val="BodyText20"/>
        <w:spacing w:line="240" w:lineRule="auto"/>
        <w:jc w:val="both"/>
        <w:rPr>
          <w:rFonts w:cstheme="minorHAnsi"/>
        </w:rPr>
      </w:pPr>
    </w:p>
    <w:p w14:paraId="3AF8A8C3" w14:textId="22D0E4DB" w:rsidR="005E2536" w:rsidRPr="00C81216" w:rsidRDefault="005E2536" w:rsidP="00577123">
      <w:pPr>
        <w:pStyle w:val="BodyText20"/>
        <w:spacing w:line="240" w:lineRule="auto"/>
        <w:jc w:val="both"/>
        <w:rPr>
          <w:rFonts w:cstheme="minorHAnsi"/>
        </w:rPr>
      </w:pPr>
      <w:r w:rsidRPr="00C81216">
        <w:rPr>
          <w:rFonts w:cstheme="minorHAnsi"/>
        </w:rPr>
        <w:t xml:space="preserve">6.2 </w:t>
      </w:r>
      <w:r w:rsidRPr="00C81216">
        <w:rPr>
          <w:rFonts w:cstheme="minorHAnsi"/>
        </w:rPr>
        <w:tab/>
        <w:t>The Credit Limit pursuant to paragraph 3.1.1 shall be set in accordance with the BT SIA</w:t>
      </w:r>
      <w:r w:rsidR="00D64150">
        <w:rPr>
          <w:rFonts w:cstheme="minorHAnsi"/>
        </w:rPr>
        <w:t>/SIPIA</w:t>
      </w:r>
      <w:r w:rsidRPr="00C81216">
        <w:rPr>
          <w:rFonts w:cstheme="minorHAnsi"/>
        </w:rPr>
        <w:t xml:space="preserve"> Credit Policy.</w:t>
      </w:r>
    </w:p>
    <w:p w14:paraId="6F0691E9" w14:textId="77777777" w:rsidR="005E2536" w:rsidRPr="00C81216" w:rsidRDefault="005E2536" w:rsidP="00577123">
      <w:pPr>
        <w:pStyle w:val="BodyText20"/>
        <w:spacing w:line="240" w:lineRule="auto"/>
        <w:jc w:val="both"/>
        <w:rPr>
          <w:rFonts w:cstheme="minorHAnsi"/>
        </w:rPr>
      </w:pPr>
      <w:r w:rsidRPr="00C81216">
        <w:rPr>
          <w:rFonts w:cstheme="minorHAnsi"/>
        </w:rPr>
        <w:t xml:space="preserve">6.3 </w:t>
      </w:r>
      <w:r w:rsidRPr="00C81216">
        <w:rPr>
          <w:rFonts w:cstheme="minorHAnsi"/>
        </w:rPr>
        <w:tab/>
        <w:t xml:space="preserve">The Credit Limit pursuant to paragraph 3.1.1 or 3.1.2 shall be set and notified by BT at a reasonable sum proportionate to the business credit risk under this Agreement with the Operator. </w:t>
      </w:r>
    </w:p>
    <w:p w14:paraId="49501691" w14:textId="77777777" w:rsidR="005E2536" w:rsidRPr="00C81216" w:rsidRDefault="005E2536" w:rsidP="00577123">
      <w:pPr>
        <w:pStyle w:val="BodyText20"/>
        <w:spacing w:line="240" w:lineRule="auto"/>
        <w:jc w:val="both"/>
        <w:rPr>
          <w:rFonts w:cstheme="minorHAnsi"/>
        </w:rPr>
      </w:pPr>
      <w:r w:rsidRPr="00C81216">
        <w:rPr>
          <w:rFonts w:cstheme="minorHAnsi"/>
        </w:rPr>
        <w:t xml:space="preserve">6.4 </w:t>
      </w:r>
      <w:r w:rsidRPr="00C81216">
        <w:rPr>
          <w:rFonts w:cstheme="minorHAnsi"/>
        </w:rPr>
        <w:tab/>
        <w:t>The Operator may appeal the Credit Vet, the Credit Limit, or in the case of paragraph 3.1.2 whether the Credit Vet is Adverse in accordance with paragraph 22.</w:t>
      </w:r>
    </w:p>
    <w:p w14:paraId="32298ABD" w14:textId="0F3DAC37" w:rsidR="005E2536" w:rsidRPr="00C81216" w:rsidRDefault="005E2536" w:rsidP="00CA486E">
      <w:pPr>
        <w:pStyle w:val="BodyText20"/>
        <w:spacing w:after="0" w:line="240" w:lineRule="auto"/>
        <w:jc w:val="both"/>
        <w:rPr>
          <w:rFonts w:cstheme="minorHAnsi"/>
        </w:rPr>
      </w:pPr>
      <w:r w:rsidRPr="00C81216">
        <w:rPr>
          <w:rFonts w:cstheme="minorHAnsi"/>
        </w:rPr>
        <w:lastRenderedPageBreak/>
        <w:t xml:space="preserve"> 6.5 </w:t>
      </w:r>
      <w:r w:rsidRPr="00C81216">
        <w:rPr>
          <w:rFonts w:cstheme="minorHAnsi"/>
        </w:rPr>
        <w:tab/>
        <w:t>Either Party shall have the right to require a further Credit Vet after not less than three months’ application of such Credit Limit, to ascertain whether the Credit Limit should be varied or removed. Immediately following such Credit Vet, BT shall adjust the Credit Limit and Profile Monitoring Limit (if appropriate) and the Parties shall increase or decrease the sums held by BT as security and as Profile Security (as appropriate).</w:t>
      </w:r>
    </w:p>
    <w:p w14:paraId="4D6E79F1" w14:textId="77777777" w:rsidR="00CA486E" w:rsidRDefault="00CA486E" w:rsidP="00CA486E">
      <w:pPr>
        <w:pStyle w:val="BodyText20"/>
        <w:spacing w:after="0"/>
        <w:jc w:val="both"/>
        <w:rPr>
          <w:rFonts w:cstheme="minorHAnsi"/>
          <w:b/>
          <w:bCs/>
        </w:rPr>
      </w:pPr>
    </w:p>
    <w:p w14:paraId="1883FD07" w14:textId="39D221FB" w:rsidR="005E2536" w:rsidRPr="00C81216" w:rsidRDefault="005E2536" w:rsidP="00CA486E">
      <w:pPr>
        <w:pStyle w:val="BodyText20"/>
        <w:spacing w:after="0"/>
        <w:jc w:val="both"/>
        <w:rPr>
          <w:rFonts w:cstheme="minorHAnsi"/>
          <w:b/>
          <w:bCs/>
        </w:rPr>
      </w:pPr>
      <w:r w:rsidRPr="00C81216">
        <w:rPr>
          <w:rFonts w:cstheme="minorHAnsi"/>
          <w:b/>
          <w:bCs/>
        </w:rPr>
        <w:t>BT: Profile Monitoring Limit.</w:t>
      </w:r>
    </w:p>
    <w:p w14:paraId="71E50939" w14:textId="379674BE" w:rsidR="005E2536" w:rsidRPr="00B85BBA" w:rsidRDefault="005E2536" w:rsidP="00E21139">
      <w:pPr>
        <w:ind w:left="720" w:hanging="720"/>
        <w:rPr>
          <w:rFonts w:cstheme="minorHAnsi"/>
        </w:rPr>
      </w:pPr>
      <w:r w:rsidRPr="00B85BBA">
        <w:rPr>
          <w:rFonts w:cstheme="minorHAnsi"/>
        </w:rPr>
        <w:t xml:space="preserve">7.1 </w:t>
      </w:r>
      <w:r w:rsidRPr="00B85BBA">
        <w:rPr>
          <w:rFonts w:cstheme="minorHAnsi"/>
        </w:rPr>
        <w:tab/>
        <w:t>Pursuant to paragraph 3.1 or 3.2, BT may set the initial Profile Monitoring Limit in accordance with the BT SIA</w:t>
      </w:r>
      <w:r w:rsidR="00D64150">
        <w:rPr>
          <w:rFonts w:cstheme="minorHAnsi"/>
        </w:rPr>
        <w:t>/SIPIA</w:t>
      </w:r>
      <w:r w:rsidRPr="00B85BBA">
        <w:rPr>
          <w:rFonts w:cstheme="minorHAnsi"/>
        </w:rPr>
        <w:t xml:space="preserve"> Credit Policy.</w:t>
      </w:r>
    </w:p>
    <w:p w14:paraId="544200D8" w14:textId="09189115" w:rsidR="00CA486E" w:rsidRPr="002735BE" w:rsidRDefault="005E2536" w:rsidP="002735BE">
      <w:pPr>
        <w:ind w:left="720" w:hanging="720"/>
        <w:rPr>
          <w:rFonts w:cstheme="minorHAnsi"/>
        </w:rPr>
      </w:pPr>
      <w:r w:rsidRPr="000F39C9">
        <w:rPr>
          <w:rFonts w:cstheme="minorHAnsi"/>
        </w:rPr>
        <w:t xml:space="preserve">7.2 </w:t>
      </w:r>
      <w:r w:rsidRPr="000F39C9">
        <w:rPr>
          <w:rFonts w:cstheme="minorHAnsi"/>
        </w:rPr>
        <w:tab/>
        <w:t>Any Profile Monitoring Limit pursuant to paragraph 7.1 shall b</w:t>
      </w:r>
      <w:r w:rsidRPr="003A2AB3">
        <w:rPr>
          <w:rFonts w:cstheme="minorHAnsi"/>
        </w:rPr>
        <w:t>e set by BT at a reasonable sum proportionate to the business credit risk under this Agreement with BT.</w:t>
      </w:r>
    </w:p>
    <w:p w14:paraId="480CDDA6" w14:textId="02EDA037" w:rsidR="005E2536" w:rsidRPr="00C81216" w:rsidRDefault="005E2536" w:rsidP="00CA486E">
      <w:pPr>
        <w:pStyle w:val="BodyText20"/>
        <w:spacing w:after="160"/>
        <w:jc w:val="both"/>
        <w:rPr>
          <w:rFonts w:cstheme="minorHAnsi"/>
          <w:b/>
          <w:bCs/>
        </w:rPr>
      </w:pPr>
      <w:r w:rsidRPr="00C81216">
        <w:rPr>
          <w:rFonts w:cstheme="minorHAnsi"/>
          <w:b/>
          <w:bCs/>
        </w:rPr>
        <w:t>BT: Security</w:t>
      </w:r>
    </w:p>
    <w:p w14:paraId="06A8287A" w14:textId="786EC25B" w:rsidR="005E2536" w:rsidRPr="00F2672E" w:rsidRDefault="005E2536" w:rsidP="00CA0255">
      <w:pPr>
        <w:ind w:left="720" w:hanging="720"/>
        <w:jc w:val="both"/>
        <w:rPr>
          <w:rFonts w:cstheme="minorHAnsi"/>
        </w:rPr>
      </w:pPr>
      <w:r w:rsidRPr="00B85BBA">
        <w:rPr>
          <w:rFonts w:cstheme="minorHAnsi"/>
        </w:rPr>
        <w:t xml:space="preserve">8.1 </w:t>
      </w:r>
      <w:r w:rsidRPr="00B85BBA">
        <w:rPr>
          <w:rFonts w:cstheme="minorHAnsi"/>
        </w:rPr>
        <w:tab/>
        <w:t xml:space="preserve">Following the notification of a Credit Limit under the Agreement, the Parties shall use reasonable endeavours to agree the provision </w:t>
      </w:r>
      <w:r w:rsidRPr="000F39C9">
        <w:rPr>
          <w:rFonts w:cstheme="minorHAnsi"/>
        </w:rPr>
        <w:t>by the Operator of appropriate security for payment of monies under this Agreement, or to implement an advance payment sche</w:t>
      </w:r>
      <w:r w:rsidRPr="003A2AB3">
        <w:rPr>
          <w:rFonts w:cstheme="minorHAnsi"/>
        </w:rPr>
        <w:t>me in accordance with the BT SIA</w:t>
      </w:r>
      <w:r w:rsidR="00D64150">
        <w:rPr>
          <w:rFonts w:cstheme="minorHAnsi"/>
        </w:rPr>
        <w:t>/SIPIA</w:t>
      </w:r>
      <w:r w:rsidRPr="003A2AB3">
        <w:rPr>
          <w:rFonts w:cstheme="minorHAnsi"/>
        </w:rPr>
        <w:t xml:space="preserve"> Credit Policy. The amount for security pursuant to paragraph 3.1.2 (other than during the initial tw</w:t>
      </w:r>
      <w:r w:rsidRPr="004F2C5A">
        <w:rPr>
          <w:rFonts w:cstheme="minorHAnsi"/>
        </w:rPr>
        <w:t>elve month period of Call conveyance under this Agreement) shall be calculated by BT in accordance with the BT SIA</w:t>
      </w:r>
      <w:r w:rsidR="00D64150">
        <w:rPr>
          <w:rFonts w:cstheme="minorHAnsi"/>
        </w:rPr>
        <w:t>/SIPIA</w:t>
      </w:r>
      <w:r w:rsidRPr="004F2C5A">
        <w:rPr>
          <w:rFonts w:cstheme="minorHAnsi"/>
        </w:rPr>
        <w:t xml:space="preserve"> Credit Policy. The maximum amount for security pursuant to paragraph 3.1.2 (other than during the initial twelve month period of conveyance o</w:t>
      </w:r>
      <w:r w:rsidRPr="008017F5">
        <w:rPr>
          <w:rFonts w:cstheme="minorHAnsi"/>
        </w:rPr>
        <w:t>f traffic under this Agreement) calculated by BT shall not exceed a sum equivalent to the previous 3 months’ total invoicing by BT to the Operator under this Agreement.</w:t>
      </w:r>
    </w:p>
    <w:p w14:paraId="48156592" w14:textId="77777777" w:rsidR="005E2536" w:rsidRPr="000F39C9" w:rsidRDefault="005E2536" w:rsidP="00CA0255">
      <w:pPr>
        <w:ind w:left="720" w:hanging="720"/>
        <w:jc w:val="both"/>
        <w:rPr>
          <w:rFonts w:cstheme="minorHAnsi"/>
        </w:rPr>
      </w:pPr>
      <w:r w:rsidRPr="00B85BBA">
        <w:rPr>
          <w:rFonts w:cstheme="minorHAnsi"/>
        </w:rPr>
        <w:t xml:space="preserve">8.2 </w:t>
      </w:r>
      <w:r w:rsidRPr="00B85BBA">
        <w:rPr>
          <w:rFonts w:cstheme="minorHAnsi"/>
        </w:rPr>
        <w:tab/>
        <w:t xml:space="preserve">Pursuant to paragraph 8.1 BT shall consider in good faith any of the following security types proposed by the Operator, and BT’s agreement shall not be unreasonably withheld: </w:t>
      </w:r>
    </w:p>
    <w:p w14:paraId="5FED4F94" w14:textId="77777777" w:rsidR="005E2536" w:rsidRPr="00247701" w:rsidRDefault="005E2536" w:rsidP="00CA0255">
      <w:pPr>
        <w:ind w:left="720"/>
        <w:jc w:val="both"/>
        <w:rPr>
          <w:rFonts w:cstheme="minorHAnsi"/>
        </w:rPr>
      </w:pPr>
      <w:r w:rsidRPr="003A2AB3">
        <w:rPr>
          <w:rFonts w:cstheme="minorHAnsi"/>
        </w:rPr>
        <w:t xml:space="preserve">8.2.1 </w:t>
      </w:r>
      <w:r w:rsidRPr="003A2AB3">
        <w:rPr>
          <w:rFonts w:cstheme="minorHAnsi"/>
        </w:rPr>
        <w:tab/>
      </w:r>
      <w:r w:rsidRPr="003A2AB3">
        <w:rPr>
          <w:rFonts w:cstheme="minorHAnsi"/>
        </w:rPr>
        <w:tab/>
        <w:t>a deposit</w:t>
      </w:r>
    </w:p>
    <w:p w14:paraId="21AA05AB" w14:textId="77777777" w:rsidR="005E2536" w:rsidRPr="004770AB" w:rsidRDefault="005E2536" w:rsidP="00CA0255">
      <w:pPr>
        <w:ind w:left="720"/>
        <w:jc w:val="both"/>
        <w:rPr>
          <w:rFonts w:cstheme="minorHAnsi"/>
        </w:rPr>
      </w:pPr>
      <w:r w:rsidRPr="004F2C5A">
        <w:rPr>
          <w:rFonts w:cstheme="minorHAnsi"/>
        </w:rPr>
        <w:t xml:space="preserve">8.2.2 </w:t>
      </w:r>
      <w:r w:rsidRPr="004F2C5A">
        <w:rPr>
          <w:rFonts w:cstheme="minorHAnsi"/>
        </w:rPr>
        <w:tab/>
      </w:r>
      <w:r w:rsidRPr="004F2C5A">
        <w:rPr>
          <w:rFonts w:cstheme="minorHAnsi"/>
        </w:rPr>
        <w:tab/>
        <w:t>a bank guarantee</w:t>
      </w:r>
    </w:p>
    <w:p w14:paraId="5C1FDEBF" w14:textId="77777777" w:rsidR="005E2536" w:rsidRPr="00E10455" w:rsidRDefault="005E2536" w:rsidP="00CA0255">
      <w:pPr>
        <w:ind w:left="720"/>
        <w:jc w:val="both"/>
        <w:rPr>
          <w:rFonts w:cstheme="minorHAnsi"/>
        </w:rPr>
      </w:pPr>
      <w:r w:rsidRPr="008017F5">
        <w:rPr>
          <w:rFonts w:cstheme="minorHAnsi"/>
        </w:rPr>
        <w:t xml:space="preserve">8.2.3 </w:t>
      </w:r>
      <w:r w:rsidRPr="008017F5">
        <w:rPr>
          <w:rFonts w:cstheme="minorHAnsi"/>
        </w:rPr>
        <w:tab/>
      </w:r>
      <w:r w:rsidRPr="008017F5">
        <w:rPr>
          <w:rFonts w:cstheme="minorHAnsi"/>
        </w:rPr>
        <w:tab/>
        <w:t xml:space="preserve">a standby letter of </w:t>
      </w:r>
      <w:r w:rsidRPr="00F2672E">
        <w:rPr>
          <w:rFonts w:cstheme="minorHAnsi"/>
        </w:rPr>
        <w:t>credit</w:t>
      </w:r>
    </w:p>
    <w:p w14:paraId="212FACEA" w14:textId="77777777" w:rsidR="005E2536" w:rsidRPr="00213E13" w:rsidRDefault="005E2536" w:rsidP="00CA0255">
      <w:pPr>
        <w:ind w:left="720"/>
        <w:jc w:val="both"/>
        <w:rPr>
          <w:rFonts w:cstheme="minorHAnsi"/>
        </w:rPr>
      </w:pPr>
      <w:r w:rsidRPr="00E10455">
        <w:rPr>
          <w:rFonts w:cstheme="minorHAnsi"/>
        </w:rPr>
        <w:t xml:space="preserve">8.2.4 </w:t>
      </w:r>
      <w:r w:rsidRPr="00E10455">
        <w:rPr>
          <w:rFonts w:cstheme="minorHAnsi"/>
        </w:rPr>
        <w:tab/>
      </w:r>
      <w:r w:rsidRPr="00E10455">
        <w:rPr>
          <w:rFonts w:cstheme="minorHAnsi"/>
        </w:rPr>
        <w:tab/>
        <w:t>a parent company guarantee</w:t>
      </w:r>
    </w:p>
    <w:p w14:paraId="29124EAA" w14:textId="77777777" w:rsidR="005E2536" w:rsidRPr="00A24DEC" w:rsidRDefault="005E2536" w:rsidP="00CA0255">
      <w:pPr>
        <w:ind w:left="720"/>
        <w:jc w:val="both"/>
        <w:rPr>
          <w:rFonts w:cstheme="minorHAnsi"/>
        </w:rPr>
      </w:pPr>
      <w:r w:rsidRPr="00213E13">
        <w:rPr>
          <w:rFonts w:cstheme="minorHAnsi"/>
        </w:rPr>
        <w:t xml:space="preserve">8.2.5 </w:t>
      </w:r>
      <w:r w:rsidRPr="00213E13">
        <w:rPr>
          <w:rFonts w:cstheme="minorHAnsi"/>
        </w:rPr>
        <w:tab/>
      </w:r>
      <w:r w:rsidRPr="00213E13">
        <w:rPr>
          <w:rFonts w:cstheme="minorHAnsi"/>
        </w:rPr>
        <w:tab/>
        <w:t>a Set-off arrangement</w:t>
      </w:r>
    </w:p>
    <w:p w14:paraId="1D62A3BD" w14:textId="77777777" w:rsidR="005E2536" w:rsidRPr="00772EAA" w:rsidRDefault="005E2536" w:rsidP="001D1339">
      <w:pPr>
        <w:ind w:left="720"/>
        <w:jc w:val="both"/>
        <w:rPr>
          <w:rFonts w:cstheme="minorHAnsi"/>
        </w:rPr>
      </w:pPr>
      <w:r w:rsidRPr="00E0386E">
        <w:rPr>
          <w:rFonts w:cstheme="minorHAnsi"/>
        </w:rPr>
        <w:t xml:space="preserve">8.2.6 </w:t>
      </w:r>
      <w:r w:rsidRPr="00E0386E">
        <w:rPr>
          <w:rFonts w:cstheme="minorHAnsi"/>
        </w:rPr>
        <w:tab/>
      </w:r>
      <w:r w:rsidRPr="00E0386E">
        <w:rPr>
          <w:rFonts w:cstheme="minorHAnsi"/>
        </w:rPr>
        <w:tab/>
        <w:t xml:space="preserve">a combination of the above </w:t>
      </w:r>
    </w:p>
    <w:p w14:paraId="6C305290" w14:textId="77777777" w:rsidR="005E2536" w:rsidRPr="00C81216" w:rsidRDefault="005E2536" w:rsidP="001D1339">
      <w:pPr>
        <w:pStyle w:val="NoSpacing"/>
        <w:jc w:val="both"/>
        <w:rPr>
          <w:rFonts w:cstheme="minorHAnsi"/>
        </w:rPr>
      </w:pPr>
    </w:p>
    <w:p w14:paraId="14DC5467" w14:textId="77777777" w:rsidR="005E2536" w:rsidRPr="005A6957" w:rsidRDefault="005E2536" w:rsidP="001D1339">
      <w:pPr>
        <w:ind w:left="720"/>
        <w:jc w:val="both"/>
        <w:rPr>
          <w:rFonts w:cstheme="minorHAnsi"/>
        </w:rPr>
      </w:pPr>
      <w:r w:rsidRPr="00B85BBA">
        <w:rPr>
          <w:rFonts w:cstheme="minorHAnsi"/>
        </w:rPr>
        <w:t>or such other financial security as may be agreed between the Parties in writing.</w:t>
      </w:r>
    </w:p>
    <w:p w14:paraId="59FC5F46" w14:textId="77777777" w:rsidR="005E2536" w:rsidRPr="005A6957" w:rsidRDefault="005E2536" w:rsidP="001D1339">
      <w:pPr>
        <w:rPr>
          <w:rFonts w:cstheme="minorHAnsi"/>
        </w:rPr>
      </w:pPr>
      <w:r w:rsidRPr="00B85BBA">
        <w:rPr>
          <w:rFonts w:cstheme="minorHAnsi"/>
        </w:rPr>
        <w:t xml:space="preserve">8.3. </w:t>
      </w:r>
      <w:r w:rsidRPr="00B85BBA">
        <w:rPr>
          <w:rFonts w:cstheme="minorHAnsi"/>
        </w:rPr>
        <w:tab/>
        <w:t>In respect of security required by BT pursuant to:</w:t>
      </w:r>
    </w:p>
    <w:p w14:paraId="45F301A6" w14:textId="77777777" w:rsidR="005E2536" w:rsidRPr="004F2C5A" w:rsidRDefault="005E2536" w:rsidP="00C81216">
      <w:pPr>
        <w:ind w:left="1440" w:hanging="720"/>
        <w:rPr>
          <w:rFonts w:cstheme="minorHAnsi"/>
        </w:rPr>
      </w:pPr>
      <w:r w:rsidRPr="000F39C9">
        <w:rPr>
          <w:rFonts w:cstheme="minorHAnsi"/>
        </w:rPr>
        <w:t xml:space="preserve">8.3.1 </w:t>
      </w:r>
      <w:r w:rsidRPr="000F39C9">
        <w:rPr>
          <w:rFonts w:cstheme="minorHAnsi"/>
        </w:rPr>
        <w:tab/>
      </w:r>
      <w:r w:rsidRPr="003A2AB3">
        <w:rPr>
          <w:rFonts w:cstheme="minorHAnsi"/>
        </w:rPr>
        <w:t>paragraph 3.1.1, no traffic shall be allowed to flow until appropriate security has been supplied to BT’s reasonable satisfaction;</w:t>
      </w:r>
    </w:p>
    <w:p w14:paraId="24C62E49" w14:textId="77777777" w:rsidR="005E2536" w:rsidRPr="00C81216" w:rsidRDefault="005E2536" w:rsidP="00C81216">
      <w:pPr>
        <w:ind w:left="1440" w:hanging="720"/>
        <w:rPr>
          <w:rFonts w:eastAsia="Times New Roman" w:cstheme="minorHAnsi"/>
          <w:lang w:eastAsia="en-GB"/>
        </w:rPr>
      </w:pPr>
      <w:r w:rsidRPr="00C81216">
        <w:rPr>
          <w:rFonts w:cstheme="minorHAnsi"/>
        </w:rPr>
        <w:t xml:space="preserve">8.3.2 </w:t>
      </w:r>
      <w:r w:rsidRPr="00C81216">
        <w:rPr>
          <w:rFonts w:cstheme="minorHAnsi"/>
        </w:rPr>
        <w:tab/>
      </w:r>
      <w:r w:rsidRPr="00C81216">
        <w:rPr>
          <w:rFonts w:eastAsia="Times New Roman" w:cstheme="minorHAnsi"/>
          <w:lang w:eastAsia="en-GB"/>
        </w:rPr>
        <w:t>paragraph 3.1.2, BT shall be entitled to refuse or suspend orders, or restrict traffic which would cause business in excess of the Credit Limit until appropriate security has been supplied to BT’s reasonable satisfaction.</w:t>
      </w:r>
    </w:p>
    <w:p w14:paraId="7B4866BB" w14:textId="44AF625A" w:rsidR="005E2536" w:rsidRPr="00C81216" w:rsidRDefault="005E2536" w:rsidP="006E48E1">
      <w:pPr>
        <w:pStyle w:val="BodyText0"/>
        <w:ind w:left="720" w:hanging="720"/>
        <w:rPr>
          <w:rFonts w:asciiTheme="minorHAnsi" w:hAnsiTheme="minorHAnsi" w:cstheme="minorHAnsi"/>
          <w:sz w:val="22"/>
          <w:szCs w:val="22"/>
        </w:rPr>
      </w:pPr>
      <w:r w:rsidRPr="00C81216">
        <w:rPr>
          <w:rFonts w:asciiTheme="minorHAnsi" w:hAnsiTheme="minorHAnsi" w:cstheme="minorHAnsi"/>
          <w:sz w:val="22"/>
          <w:szCs w:val="22"/>
        </w:rPr>
        <w:lastRenderedPageBreak/>
        <w:t xml:space="preserve">8.4. </w:t>
      </w:r>
      <w:r w:rsidRPr="00C81216">
        <w:rPr>
          <w:rFonts w:asciiTheme="minorHAnsi" w:hAnsiTheme="minorHAnsi" w:cstheme="minorHAnsi"/>
          <w:sz w:val="22"/>
          <w:szCs w:val="22"/>
        </w:rPr>
        <w:tab/>
        <w:t xml:space="preserve">BT shall continue to hold such security until payment by the Operator of sums due under the Agreement not later than 7 calendar days after the Due Date (as defined in Annex D, or as described in this </w:t>
      </w:r>
      <w:r w:rsidR="00F3290C">
        <w:rPr>
          <w:rFonts w:asciiTheme="minorHAnsi" w:hAnsiTheme="minorHAnsi" w:cstheme="minorHAnsi"/>
          <w:sz w:val="22"/>
          <w:szCs w:val="22"/>
        </w:rPr>
        <w:t>Annex F</w:t>
      </w:r>
      <w:r w:rsidRPr="00C81216">
        <w:rPr>
          <w:rFonts w:asciiTheme="minorHAnsi" w:hAnsiTheme="minorHAnsi" w:cstheme="minorHAnsi"/>
          <w:sz w:val="22"/>
          <w:szCs w:val="22"/>
        </w:rPr>
        <w:t xml:space="preserve"> for the purposes of this </w:t>
      </w:r>
      <w:r w:rsidR="00F3290C">
        <w:rPr>
          <w:rFonts w:asciiTheme="minorHAnsi" w:hAnsiTheme="minorHAnsi" w:cstheme="minorHAnsi"/>
          <w:sz w:val="22"/>
          <w:szCs w:val="22"/>
        </w:rPr>
        <w:t>Annex F</w:t>
      </w:r>
      <w:r w:rsidRPr="00C81216">
        <w:rPr>
          <w:rFonts w:asciiTheme="minorHAnsi" w:hAnsiTheme="minorHAnsi" w:cstheme="minorHAnsi"/>
          <w:sz w:val="22"/>
          <w:szCs w:val="22"/>
        </w:rPr>
        <w:t xml:space="preserve">) for 12 subsequent consecutive calendar months (other than a sum or sums due in any such month which sums do not exceed 25% of the relevant Operator </w:t>
      </w:r>
      <w:r w:rsidR="00CA1716">
        <w:rPr>
          <w:rFonts w:asciiTheme="minorHAnsi" w:hAnsiTheme="minorHAnsi" w:cstheme="minorHAnsi"/>
          <w:sz w:val="22"/>
          <w:szCs w:val="22"/>
        </w:rPr>
        <w:t>C</w:t>
      </w:r>
      <w:r w:rsidRPr="00C81216">
        <w:rPr>
          <w:rFonts w:asciiTheme="minorHAnsi" w:hAnsiTheme="minorHAnsi" w:cstheme="minorHAnsi"/>
          <w:sz w:val="22"/>
          <w:szCs w:val="22"/>
        </w:rPr>
        <w:t xml:space="preserve">alendar </w:t>
      </w:r>
      <w:r w:rsidR="00CA1716">
        <w:rPr>
          <w:rFonts w:asciiTheme="minorHAnsi" w:hAnsiTheme="minorHAnsi" w:cstheme="minorHAnsi"/>
          <w:sz w:val="22"/>
          <w:szCs w:val="22"/>
        </w:rPr>
        <w:t>M</w:t>
      </w:r>
      <w:r w:rsidR="00CA1716" w:rsidRPr="00C81216">
        <w:rPr>
          <w:rFonts w:asciiTheme="minorHAnsi" w:hAnsiTheme="minorHAnsi" w:cstheme="minorHAnsi"/>
          <w:sz w:val="22"/>
          <w:szCs w:val="22"/>
        </w:rPr>
        <w:t xml:space="preserve">onth </w:t>
      </w:r>
      <w:r w:rsidR="00CA1716">
        <w:rPr>
          <w:rFonts w:asciiTheme="minorHAnsi" w:hAnsiTheme="minorHAnsi" w:cstheme="minorHAnsi"/>
          <w:sz w:val="22"/>
          <w:szCs w:val="22"/>
        </w:rPr>
        <w:t>I</w:t>
      </w:r>
      <w:r w:rsidR="00CA1716" w:rsidRPr="00C81216">
        <w:rPr>
          <w:rFonts w:asciiTheme="minorHAnsi" w:hAnsiTheme="minorHAnsi" w:cstheme="minorHAnsi"/>
          <w:sz w:val="22"/>
          <w:szCs w:val="22"/>
        </w:rPr>
        <w:t xml:space="preserve">nvoice </w:t>
      </w:r>
      <w:r w:rsidR="00CA1716">
        <w:rPr>
          <w:rFonts w:asciiTheme="minorHAnsi" w:hAnsiTheme="minorHAnsi" w:cstheme="minorHAnsi"/>
          <w:sz w:val="22"/>
          <w:szCs w:val="22"/>
        </w:rPr>
        <w:t>S</w:t>
      </w:r>
      <w:r w:rsidR="00CA1716" w:rsidRPr="00C81216">
        <w:rPr>
          <w:rFonts w:asciiTheme="minorHAnsi" w:hAnsiTheme="minorHAnsi" w:cstheme="minorHAnsi"/>
          <w:sz w:val="22"/>
          <w:szCs w:val="22"/>
        </w:rPr>
        <w:t>um</w:t>
      </w:r>
      <w:r w:rsidRPr="00C81216">
        <w:rPr>
          <w:rFonts w:asciiTheme="minorHAnsi" w:hAnsiTheme="minorHAnsi" w:cstheme="minorHAnsi"/>
          <w:sz w:val="22"/>
          <w:szCs w:val="22"/>
        </w:rPr>
        <w:t>(s) for such months).</w:t>
      </w:r>
    </w:p>
    <w:p w14:paraId="239A06F3" w14:textId="77777777" w:rsidR="005E2536" w:rsidRPr="00C81216" w:rsidRDefault="005E2536" w:rsidP="005E535E">
      <w:pPr>
        <w:pStyle w:val="BodyText0"/>
        <w:rPr>
          <w:rFonts w:asciiTheme="minorHAnsi" w:hAnsiTheme="minorHAnsi" w:cstheme="minorHAnsi"/>
          <w:sz w:val="22"/>
          <w:szCs w:val="22"/>
        </w:rPr>
      </w:pPr>
    </w:p>
    <w:p w14:paraId="67096B39" w14:textId="0F5D88EF" w:rsidR="005E2536" w:rsidRPr="00C81216" w:rsidRDefault="005E2536" w:rsidP="006A687D">
      <w:pPr>
        <w:pStyle w:val="BodyText0"/>
        <w:ind w:left="720" w:hanging="720"/>
        <w:rPr>
          <w:rFonts w:asciiTheme="minorHAnsi" w:hAnsiTheme="minorHAnsi" w:cstheme="minorHAnsi"/>
          <w:sz w:val="22"/>
          <w:szCs w:val="22"/>
        </w:rPr>
      </w:pPr>
      <w:r w:rsidRPr="00C81216">
        <w:rPr>
          <w:rFonts w:asciiTheme="minorHAnsi" w:hAnsiTheme="minorHAnsi" w:cstheme="minorHAnsi"/>
          <w:sz w:val="22"/>
          <w:szCs w:val="22"/>
        </w:rPr>
        <w:t xml:space="preserve">8.5 </w:t>
      </w:r>
      <w:r w:rsidRPr="00C81216">
        <w:rPr>
          <w:rFonts w:asciiTheme="minorHAnsi" w:hAnsiTheme="minorHAnsi" w:cstheme="minorHAnsi"/>
          <w:sz w:val="22"/>
          <w:szCs w:val="22"/>
        </w:rPr>
        <w:tab/>
        <w:t xml:space="preserve">If the Operator supplies a deposit to BT under this </w:t>
      </w:r>
      <w:r w:rsidR="00F3290C">
        <w:rPr>
          <w:rFonts w:asciiTheme="minorHAnsi" w:hAnsiTheme="minorHAnsi" w:cstheme="minorHAnsi"/>
          <w:sz w:val="22"/>
          <w:szCs w:val="22"/>
        </w:rPr>
        <w:t>Annex F</w:t>
      </w:r>
      <w:r w:rsidRPr="00C81216">
        <w:rPr>
          <w:rFonts w:asciiTheme="minorHAnsi" w:hAnsiTheme="minorHAnsi" w:cstheme="minorHAnsi"/>
          <w:sz w:val="22"/>
          <w:szCs w:val="22"/>
        </w:rPr>
        <w:t>, BT shall pay interest on such deposit in accordance with the BT SIA</w:t>
      </w:r>
      <w:r w:rsidR="00D64150">
        <w:rPr>
          <w:rFonts w:asciiTheme="minorHAnsi" w:hAnsiTheme="minorHAnsi" w:cstheme="minorHAnsi"/>
          <w:sz w:val="22"/>
          <w:szCs w:val="22"/>
        </w:rPr>
        <w:t>/SIPIA</w:t>
      </w:r>
      <w:r w:rsidRPr="00C81216">
        <w:rPr>
          <w:rFonts w:asciiTheme="minorHAnsi" w:hAnsiTheme="minorHAnsi" w:cstheme="minorHAnsi"/>
          <w:sz w:val="22"/>
          <w:szCs w:val="22"/>
        </w:rPr>
        <w:t xml:space="preserve"> Credit Policy at the Deposit Interest Rate for:</w:t>
      </w:r>
    </w:p>
    <w:p w14:paraId="6F634677" w14:textId="77777777" w:rsidR="005E2536" w:rsidRPr="00C81216" w:rsidRDefault="005E2536" w:rsidP="000B54CF">
      <w:pPr>
        <w:pStyle w:val="BodyText0"/>
        <w:rPr>
          <w:rFonts w:asciiTheme="minorHAnsi" w:hAnsiTheme="minorHAnsi" w:cstheme="minorHAnsi"/>
          <w:sz w:val="22"/>
          <w:szCs w:val="22"/>
        </w:rPr>
      </w:pPr>
    </w:p>
    <w:p w14:paraId="4E933E7D" w14:textId="22F46360" w:rsidR="005E2536" w:rsidRPr="00C81216" w:rsidRDefault="005E2536" w:rsidP="00A54802">
      <w:pPr>
        <w:ind w:left="1440" w:hanging="720"/>
        <w:rPr>
          <w:rFonts w:cstheme="minorHAnsi"/>
        </w:rPr>
      </w:pPr>
      <w:r w:rsidRPr="00C81216">
        <w:rPr>
          <w:rFonts w:cstheme="minorHAnsi"/>
        </w:rPr>
        <w:t>8.5.1</w:t>
      </w:r>
      <w:r w:rsidR="00CA486E">
        <w:rPr>
          <w:rFonts w:cstheme="minorHAnsi"/>
        </w:rPr>
        <w:tab/>
      </w:r>
      <w:r w:rsidRPr="00C81216">
        <w:rPr>
          <w:rFonts w:cstheme="minorHAnsi"/>
        </w:rPr>
        <w:t>the initial three month period (being the three month period commencing on the (banking) day when the deposit was received) if the total interest calculated at the Deposit Interest Rate for such three month period exceeds  £1,000, and the Operator raises an invoice for the interest which invoice applies the appropriate VAT</w:t>
      </w:r>
    </w:p>
    <w:p w14:paraId="01D1139C" w14:textId="77777777" w:rsidR="005E2536" w:rsidRPr="00C81216" w:rsidRDefault="005E2536" w:rsidP="001D1339">
      <w:pPr>
        <w:pStyle w:val="BodyText0"/>
        <w:rPr>
          <w:rFonts w:asciiTheme="minorHAnsi" w:hAnsiTheme="minorHAnsi" w:cstheme="minorHAnsi"/>
          <w:sz w:val="22"/>
          <w:szCs w:val="22"/>
        </w:rPr>
      </w:pPr>
    </w:p>
    <w:p w14:paraId="4CEA051D" w14:textId="2DF2B5E8" w:rsidR="005E2536" w:rsidRPr="00C81216" w:rsidRDefault="005E2536" w:rsidP="00A54802">
      <w:pPr>
        <w:pStyle w:val="BodyText0"/>
        <w:ind w:left="1440" w:hanging="720"/>
        <w:rPr>
          <w:rFonts w:asciiTheme="minorHAnsi" w:hAnsiTheme="minorHAnsi" w:cstheme="minorHAnsi"/>
          <w:sz w:val="22"/>
          <w:szCs w:val="22"/>
        </w:rPr>
      </w:pPr>
      <w:r w:rsidRPr="00C81216">
        <w:rPr>
          <w:rFonts w:asciiTheme="minorHAnsi" w:hAnsiTheme="minorHAnsi" w:cstheme="minorHAnsi"/>
          <w:sz w:val="22"/>
          <w:szCs w:val="22"/>
        </w:rPr>
        <w:t xml:space="preserve">8.5.2 </w:t>
      </w:r>
      <w:r w:rsidRPr="00C81216">
        <w:rPr>
          <w:rFonts w:asciiTheme="minorHAnsi" w:hAnsiTheme="minorHAnsi" w:cstheme="minorHAnsi"/>
          <w:sz w:val="22"/>
          <w:szCs w:val="22"/>
        </w:rPr>
        <w:tab/>
        <w:t>the period after the initial three month period referred to in paragraph 8.5.1</w:t>
      </w:r>
    </w:p>
    <w:p w14:paraId="48D30147" w14:textId="77777777" w:rsidR="005E2536" w:rsidRPr="00C81216" w:rsidRDefault="005E2536" w:rsidP="001D1339">
      <w:pPr>
        <w:jc w:val="both"/>
        <w:rPr>
          <w:rFonts w:cstheme="minorHAnsi"/>
        </w:rPr>
      </w:pPr>
    </w:p>
    <w:p w14:paraId="61E4E62B" w14:textId="77777777" w:rsidR="005E2536" w:rsidRPr="00C81216" w:rsidRDefault="005E2536" w:rsidP="00A54802">
      <w:pPr>
        <w:pStyle w:val="BodyText20"/>
        <w:jc w:val="both"/>
        <w:rPr>
          <w:rFonts w:cstheme="minorHAnsi"/>
          <w:b/>
          <w:bCs/>
        </w:rPr>
      </w:pPr>
      <w:r w:rsidRPr="00C81216">
        <w:rPr>
          <w:rFonts w:cstheme="minorHAnsi"/>
          <w:b/>
          <w:bCs/>
        </w:rPr>
        <w:t>BT: Profile Monitoring</w:t>
      </w:r>
    </w:p>
    <w:p w14:paraId="4727833B" w14:textId="77777777" w:rsidR="005E2536" w:rsidRPr="00C81216" w:rsidRDefault="005E2536" w:rsidP="007A3A45">
      <w:pPr>
        <w:pStyle w:val="BodyText0"/>
        <w:spacing w:after="180"/>
        <w:ind w:left="720" w:hanging="720"/>
        <w:rPr>
          <w:rFonts w:asciiTheme="minorHAnsi" w:hAnsiTheme="minorHAnsi" w:cstheme="minorHAnsi"/>
          <w:sz w:val="22"/>
          <w:szCs w:val="22"/>
        </w:rPr>
      </w:pPr>
      <w:r w:rsidRPr="00C81216">
        <w:rPr>
          <w:rFonts w:asciiTheme="minorHAnsi" w:hAnsiTheme="minorHAnsi" w:cstheme="minorHAnsi"/>
          <w:sz w:val="22"/>
          <w:szCs w:val="22"/>
        </w:rPr>
        <w:t xml:space="preserve">9.1 </w:t>
      </w:r>
      <w:r w:rsidRPr="00C81216">
        <w:rPr>
          <w:rFonts w:asciiTheme="minorHAnsi" w:hAnsiTheme="minorHAnsi" w:cstheme="minorHAnsi"/>
          <w:sz w:val="22"/>
          <w:szCs w:val="22"/>
        </w:rPr>
        <w:tab/>
        <w:t xml:space="preserve">If a Profile Monitoring Limit has been set by BT, the actual level of traffic invoiceable by BT in a month will be monitored against the Profile Monitoring Limit for that month.  </w:t>
      </w:r>
    </w:p>
    <w:p w14:paraId="51E24FFD" w14:textId="0C5CED32" w:rsidR="005E2536" w:rsidRPr="00C81216" w:rsidRDefault="005E2536" w:rsidP="007A3A45">
      <w:pPr>
        <w:pStyle w:val="BodyText0"/>
        <w:spacing w:after="180"/>
        <w:ind w:left="720" w:hanging="720"/>
        <w:rPr>
          <w:rFonts w:asciiTheme="minorHAnsi" w:hAnsiTheme="minorHAnsi" w:cstheme="minorHAnsi"/>
          <w:sz w:val="22"/>
          <w:szCs w:val="22"/>
        </w:rPr>
      </w:pPr>
      <w:r w:rsidRPr="00C81216">
        <w:rPr>
          <w:rFonts w:asciiTheme="minorHAnsi" w:hAnsiTheme="minorHAnsi" w:cstheme="minorHAnsi"/>
          <w:sz w:val="22"/>
          <w:szCs w:val="22"/>
        </w:rPr>
        <w:t xml:space="preserve">9.2 </w:t>
      </w:r>
      <w:r w:rsidRPr="00C81216">
        <w:rPr>
          <w:rFonts w:asciiTheme="minorHAnsi" w:hAnsiTheme="minorHAnsi" w:cstheme="minorHAnsi"/>
          <w:sz w:val="22"/>
          <w:szCs w:val="22"/>
        </w:rPr>
        <w:tab/>
        <w:t>If a Profile Monitoring Limit is exceeded (or if BT reasonably considers that it is likely to be exceeded) in any month, BT may require Profile Security from the Operator in accordance with the BT SIA</w:t>
      </w:r>
      <w:r w:rsidR="00D64150">
        <w:rPr>
          <w:rFonts w:asciiTheme="minorHAnsi" w:hAnsiTheme="minorHAnsi" w:cstheme="minorHAnsi"/>
          <w:sz w:val="22"/>
          <w:szCs w:val="22"/>
        </w:rPr>
        <w:t>/SIPIA</w:t>
      </w:r>
      <w:r w:rsidRPr="00C81216">
        <w:rPr>
          <w:rFonts w:asciiTheme="minorHAnsi" w:hAnsiTheme="minorHAnsi" w:cstheme="minorHAnsi"/>
          <w:sz w:val="22"/>
          <w:szCs w:val="22"/>
        </w:rPr>
        <w:t xml:space="preserve"> Credit Policy.</w:t>
      </w:r>
    </w:p>
    <w:p w14:paraId="722389C7" w14:textId="77777777" w:rsidR="005E2536" w:rsidRPr="00C81216" w:rsidRDefault="005E2536" w:rsidP="00A57F19">
      <w:pPr>
        <w:pStyle w:val="BodyText0"/>
        <w:spacing w:after="180"/>
        <w:ind w:left="720" w:hanging="720"/>
        <w:rPr>
          <w:rFonts w:asciiTheme="minorHAnsi" w:hAnsiTheme="minorHAnsi" w:cstheme="minorHAnsi"/>
          <w:sz w:val="22"/>
          <w:szCs w:val="22"/>
        </w:rPr>
      </w:pPr>
      <w:r w:rsidRPr="00C81216">
        <w:rPr>
          <w:rFonts w:asciiTheme="minorHAnsi" w:hAnsiTheme="minorHAnsi" w:cstheme="minorHAnsi"/>
          <w:sz w:val="22"/>
          <w:szCs w:val="22"/>
        </w:rPr>
        <w:t xml:space="preserve">9.3 </w:t>
      </w:r>
      <w:r w:rsidRPr="00C81216">
        <w:rPr>
          <w:rFonts w:asciiTheme="minorHAnsi" w:hAnsiTheme="minorHAnsi" w:cstheme="minorHAnsi"/>
          <w:sz w:val="22"/>
          <w:szCs w:val="22"/>
        </w:rPr>
        <w:tab/>
        <w:t>In respect of Profile Security required by BT pursuant to paragraph 3.1.2 or 3.2, BT shall be entitled to refuse or suspend orders, or restrict traffic which would cause business in excess of the Profile Monitoring Limit until appropriate Profile Security has been supplied to BT’s reasonable satisfaction.</w:t>
      </w:r>
    </w:p>
    <w:p w14:paraId="657599DA" w14:textId="77777777" w:rsidR="005E2536" w:rsidRPr="00C81216" w:rsidRDefault="005E2536" w:rsidP="00A54802">
      <w:pPr>
        <w:pStyle w:val="BodyText20"/>
        <w:jc w:val="both"/>
        <w:rPr>
          <w:rFonts w:cstheme="minorHAnsi"/>
          <w:b/>
          <w:bCs/>
        </w:rPr>
      </w:pPr>
      <w:r w:rsidRPr="00C81216">
        <w:rPr>
          <w:rFonts w:cstheme="minorHAnsi"/>
          <w:b/>
          <w:bCs/>
        </w:rPr>
        <w:t>BT: Application/Restoration of Security or Profile Security</w:t>
      </w:r>
    </w:p>
    <w:p w14:paraId="5FA5312C" w14:textId="77777777" w:rsidR="005E2536" w:rsidRPr="000F39C9" w:rsidRDefault="005E2536" w:rsidP="00A54802">
      <w:pPr>
        <w:pStyle w:val="NoSpacing"/>
        <w:ind w:left="720" w:hanging="720"/>
        <w:rPr>
          <w:rFonts w:cstheme="minorHAnsi"/>
        </w:rPr>
      </w:pPr>
      <w:r w:rsidRPr="00B85BBA">
        <w:rPr>
          <w:rFonts w:cstheme="minorHAnsi"/>
        </w:rPr>
        <w:t xml:space="preserve">10. </w:t>
      </w:r>
      <w:r w:rsidRPr="00B85BBA">
        <w:rPr>
          <w:rFonts w:cstheme="minorHAnsi"/>
        </w:rPr>
        <w:tab/>
        <w:t>If the Operator fails to pay under this Agreement any overdue amounts that are not in dispute six calendar days after the Due Date, BT shall be entitled to apply any security or Profile Security held by BT under this Agreement against such non-p</w:t>
      </w:r>
      <w:r w:rsidRPr="005A6957">
        <w:rPr>
          <w:rFonts w:cstheme="minorHAnsi"/>
        </w:rPr>
        <w:t>ayment, and the Operator shall supply security to restore the value of such security or Profile Security holding by BT within five Working Days of written notice from BT to do so.</w:t>
      </w:r>
    </w:p>
    <w:p w14:paraId="5F5C4710" w14:textId="77777777" w:rsidR="005E2536" w:rsidRPr="003A2AB3" w:rsidRDefault="005E2536" w:rsidP="00A57F19">
      <w:pPr>
        <w:rPr>
          <w:rFonts w:cstheme="minorHAnsi"/>
        </w:rPr>
      </w:pPr>
    </w:p>
    <w:p w14:paraId="721F2818" w14:textId="77777777" w:rsidR="005E2536" w:rsidRPr="008017F5" w:rsidRDefault="005E2536" w:rsidP="00A57F19">
      <w:pPr>
        <w:ind w:left="1440" w:hanging="720"/>
        <w:rPr>
          <w:rFonts w:cstheme="minorHAnsi"/>
        </w:rPr>
      </w:pPr>
      <w:r w:rsidRPr="004F2C5A">
        <w:rPr>
          <w:rFonts w:cstheme="minorHAnsi"/>
        </w:rPr>
        <w:t xml:space="preserve">10.1 </w:t>
      </w:r>
      <w:r w:rsidRPr="004F2C5A">
        <w:rPr>
          <w:rFonts w:cstheme="minorHAnsi"/>
        </w:rPr>
        <w:tab/>
        <w:t xml:space="preserve">If payment is received by BT after such security or Profile Security </w:t>
      </w:r>
      <w:r w:rsidRPr="004770AB">
        <w:rPr>
          <w:rFonts w:cstheme="minorHAnsi"/>
        </w:rPr>
        <w:t>has been so applied against non-payment under paragraph 10, BT shall either apply such payment to restore the value of such security or Profile Security, or shall issue a credit note in respect of such payment, as appropriate.</w:t>
      </w:r>
    </w:p>
    <w:p w14:paraId="5AC2C419" w14:textId="77777777" w:rsidR="005E2536" w:rsidRPr="00213E13" w:rsidRDefault="005E2536" w:rsidP="00A57F19">
      <w:pPr>
        <w:ind w:left="720" w:hanging="720"/>
        <w:rPr>
          <w:rFonts w:cstheme="minorHAnsi"/>
        </w:rPr>
      </w:pPr>
      <w:r w:rsidRPr="00E10455">
        <w:rPr>
          <w:rFonts w:cstheme="minorHAnsi"/>
        </w:rPr>
        <w:t xml:space="preserve">11. </w:t>
      </w:r>
      <w:r w:rsidRPr="00E10455">
        <w:rPr>
          <w:rFonts w:cstheme="minorHAnsi"/>
        </w:rPr>
        <w:tab/>
        <w:t>If the Operator fails to so restore the value of the security and Profile Security, BT shall be entitled to apply the provisions of paragraph 8.3 or 9.3 as if such paragraphs apply in respect of the value of the security or the Profile Security under paragraphs 10 and 11.</w:t>
      </w:r>
    </w:p>
    <w:p w14:paraId="3AF01149" w14:textId="77777777" w:rsidR="008D531C" w:rsidRDefault="008D531C" w:rsidP="006E48E1">
      <w:pPr>
        <w:pStyle w:val="BodyText20"/>
        <w:jc w:val="both"/>
        <w:rPr>
          <w:rFonts w:cstheme="minorHAnsi"/>
          <w:b/>
          <w:bCs/>
        </w:rPr>
      </w:pPr>
    </w:p>
    <w:p w14:paraId="34863BF2" w14:textId="28A0C69C" w:rsidR="005E2536" w:rsidRPr="00C81216" w:rsidRDefault="005E2536" w:rsidP="006E48E1">
      <w:pPr>
        <w:pStyle w:val="BodyText20"/>
        <w:jc w:val="both"/>
        <w:rPr>
          <w:rFonts w:cstheme="minorHAnsi"/>
          <w:b/>
          <w:bCs/>
        </w:rPr>
      </w:pPr>
      <w:r w:rsidRPr="00C81216">
        <w:rPr>
          <w:rFonts w:cstheme="minorHAnsi"/>
          <w:b/>
          <w:bCs/>
        </w:rPr>
        <w:lastRenderedPageBreak/>
        <w:t>Operator: Credit Management Activity</w:t>
      </w:r>
    </w:p>
    <w:p w14:paraId="1FC4767F" w14:textId="4598329A" w:rsidR="005E2536" w:rsidRPr="00C81216" w:rsidRDefault="005E2536" w:rsidP="00CA486E">
      <w:pPr>
        <w:spacing w:after="0"/>
        <w:ind w:left="720" w:hanging="720"/>
        <w:jc w:val="both"/>
        <w:rPr>
          <w:rFonts w:cstheme="minorHAnsi"/>
        </w:rPr>
      </w:pPr>
      <w:r w:rsidRPr="00C81216">
        <w:rPr>
          <w:rFonts w:cstheme="minorHAnsi"/>
        </w:rPr>
        <w:t xml:space="preserve">12.1 </w:t>
      </w:r>
      <w:r w:rsidRPr="00C81216">
        <w:rPr>
          <w:rFonts w:cstheme="minorHAnsi"/>
        </w:rPr>
        <w:tab/>
        <w:t xml:space="preserve">Subject to the provisions of this </w:t>
      </w:r>
      <w:r w:rsidR="00F3290C">
        <w:rPr>
          <w:rFonts w:cstheme="minorHAnsi"/>
        </w:rPr>
        <w:t>Annex F</w:t>
      </w:r>
      <w:r w:rsidRPr="00C81216">
        <w:rPr>
          <w:rFonts w:cstheme="minorHAnsi"/>
        </w:rPr>
        <w:t xml:space="preserve"> the Operator shall be entitled to Credit Vet, apply a Credit Limit and to Profile Monitor and apply a Profile Monitoring Limit to BT under this Agreement if BT has received two valid Security Notices from the Operator in respect of any 12 months’ period, and there has been a subsequent Credit Vet of BT which is Adverse.</w:t>
      </w:r>
    </w:p>
    <w:p w14:paraId="369A365B" w14:textId="1AA73904" w:rsidR="005E2536" w:rsidRPr="00C81216" w:rsidRDefault="005E2536" w:rsidP="0026279B">
      <w:pPr>
        <w:spacing w:before="240" w:after="0"/>
        <w:ind w:left="720" w:hanging="720"/>
        <w:jc w:val="both"/>
        <w:rPr>
          <w:rFonts w:cstheme="minorHAnsi"/>
        </w:rPr>
      </w:pPr>
      <w:r w:rsidRPr="00C81216">
        <w:rPr>
          <w:rFonts w:cstheme="minorHAnsi"/>
        </w:rPr>
        <w:t xml:space="preserve">12.2 </w:t>
      </w:r>
      <w:r w:rsidRPr="00C81216">
        <w:rPr>
          <w:rFonts w:cstheme="minorHAnsi"/>
        </w:rPr>
        <w:tab/>
        <w:t xml:space="preserve">Subject to the provisions of this </w:t>
      </w:r>
      <w:r w:rsidR="00F3290C">
        <w:rPr>
          <w:rFonts w:cstheme="minorHAnsi"/>
        </w:rPr>
        <w:t>Annex F</w:t>
      </w:r>
      <w:r w:rsidRPr="00C81216">
        <w:rPr>
          <w:rFonts w:cstheme="minorHAnsi"/>
        </w:rPr>
        <w:t>, the Operator shall be entitled to apply a Profile Monitoring Limit to BT under this Agreement if BT has received two valid Payment Period Notices in respect of any 6 months’ period.  A Security Notice issued under paragraph 12.1, shall also be deemed a Payment Period Notice for the purposes of this paragraph 1.</w:t>
      </w:r>
    </w:p>
    <w:p w14:paraId="6539FA73" w14:textId="77777777" w:rsidR="005E2536" w:rsidRPr="00C81216" w:rsidRDefault="005E2536" w:rsidP="0026279B">
      <w:pPr>
        <w:spacing w:before="240"/>
        <w:ind w:left="720" w:hanging="720"/>
        <w:jc w:val="both"/>
        <w:rPr>
          <w:rFonts w:cstheme="minorHAnsi"/>
        </w:rPr>
      </w:pPr>
      <w:r w:rsidRPr="00C81216">
        <w:rPr>
          <w:rFonts w:cstheme="minorHAnsi"/>
        </w:rPr>
        <w:t xml:space="preserve">12.3 </w:t>
      </w:r>
      <w:r w:rsidRPr="00C81216">
        <w:rPr>
          <w:rFonts w:cstheme="minorHAnsi"/>
        </w:rPr>
        <w:tab/>
        <w:t>Pursuant to paragraphs 12.1 and 12.2, in respect of the same calendar month the Operator may issue, as appropriate, either a single Payment Period Notice or a single Security Notice, but not both.</w:t>
      </w:r>
    </w:p>
    <w:p w14:paraId="3C41534F" w14:textId="2270DF91" w:rsidR="005E2536" w:rsidRPr="00C81216" w:rsidRDefault="005E2536" w:rsidP="00A57F19">
      <w:pPr>
        <w:ind w:left="720" w:hanging="720"/>
        <w:jc w:val="both"/>
        <w:rPr>
          <w:rFonts w:cstheme="minorHAnsi"/>
        </w:rPr>
      </w:pPr>
      <w:r w:rsidRPr="00C81216">
        <w:rPr>
          <w:rFonts w:cstheme="minorHAnsi"/>
        </w:rPr>
        <w:t xml:space="preserve">12.4 </w:t>
      </w:r>
      <w:r w:rsidRPr="00C81216">
        <w:rPr>
          <w:rFonts w:cstheme="minorHAnsi"/>
        </w:rPr>
        <w:tab/>
        <w:t xml:space="preserve">The Operator’s entitlement to continue to apply credit management action under paragraphs 12.1 and 12.2 shall continue until payment of sums due not later than 7 calendar days after the Due Date (as defined in Annex D, or as described in this </w:t>
      </w:r>
      <w:r w:rsidR="00F3290C">
        <w:rPr>
          <w:rFonts w:cstheme="minorHAnsi"/>
        </w:rPr>
        <w:t>Annex F</w:t>
      </w:r>
      <w:r w:rsidRPr="00C81216">
        <w:rPr>
          <w:rFonts w:cstheme="minorHAnsi"/>
        </w:rPr>
        <w:t xml:space="preserve"> for the purposes of this </w:t>
      </w:r>
      <w:r w:rsidR="00F3290C">
        <w:rPr>
          <w:rFonts w:cstheme="minorHAnsi"/>
        </w:rPr>
        <w:t>Annex F</w:t>
      </w:r>
      <w:r w:rsidRPr="00C81216">
        <w:rPr>
          <w:rFonts w:cstheme="minorHAnsi"/>
        </w:rPr>
        <w:t xml:space="preserve">) for 12 consecutive calendar months (other than a sum or sums due in any such month which sums do not exceed 25% of the relevant BT </w:t>
      </w:r>
      <w:r w:rsidR="00CA1716">
        <w:rPr>
          <w:rFonts w:cstheme="minorHAnsi"/>
        </w:rPr>
        <w:t>C</w:t>
      </w:r>
      <w:r w:rsidRPr="00C81216">
        <w:rPr>
          <w:rFonts w:cstheme="minorHAnsi"/>
        </w:rPr>
        <w:t xml:space="preserve">alendar </w:t>
      </w:r>
      <w:r w:rsidR="00CA1716">
        <w:rPr>
          <w:rFonts w:cstheme="minorHAnsi"/>
        </w:rPr>
        <w:t>M</w:t>
      </w:r>
      <w:r w:rsidR="00CA1716" w:rsidRPr="00C81216">
        <w:rPr>
          <w:rFonts w:cstheme="minorHAnsi"/>
        </w:rPr>
        <w:t xml:space="preserve">onth </w:t>
      </w:r>
      <w:r w:rsidR="00CA1716">
        <w:rPr>
          <w:rFonts w:cstheme="minorHAnsi"/>
        </w:rPr>
        <w:t>I</w:t>
      </w:r>
      <w:r w:rsidR="00CA1716" w:rsidRPr="00C81216">
        <w:rPr>
          <w:rFonts w:cstheme="minorHAnsi"/>
        </w:rPr>
        <w:t xml:space="preserve">nvoice </w:t>
      </w:r>
      <w:r w:rsidR="007C3859">
        <w:rPr>
          <w:rFonts w:cstheme="minorHAnsi"/>
        </w:rPr>
        <w:t>S</w:t>
      </w:r>
      <w:r w:rsidR="007C3859" w:rsidRPr="00C81216">
        <w:rPr>
          <w:rFonts w:cstheme="minorHAnsi"/>
        </w:rPr>
        <w:t>um</w:t>
      </w:r>
      <w:r w:rsidRPr="00C81216">
        <w:rPr>
          <w:rFonts w:cstheme="minorHAnsi"/>
        </w:rPr>
        <w:t>(s) for such months).</w:t>
      </w:r>
    </w:p>
    <w:p w14:paraId="1449151E" w14:textId="2772646E" w:rsidR="005E2536" w:rsidRPr="00C81216" w:rsidRDefault="005E2536" w:rsidP="00A57F19">
      <w:pPr>
        <w:ind w:left="720" w:hanging="720"/>
        <w:jc w:val="both"/>
        <w:rPr>
          <w:rFonts w:cstheme="minorHAnsi"/>
        </w:rPr>
      </w:pPr>
      <w:r w:rsidRPr="00C81216">
        <w:rPr>
          <w:rFonts w:cstheme="minorHAnsi"/>
        </w:rPr>
        <w:t xml:space="preserve">12.5 </w:t>
      </w:r>
      <w:r w:rsidRPr="00C81216">
        <w:rPr>
          <w:rFonts w:cstheme="minorHAnsi"/>
        </w:rPr>
        <w:tab/>
        <w:t>BT may supply audited financial information and/or other data, and/or credit vet reports from one of the external agencies listed in the BT SIA</w:t>
      </w:r>
      <w:r w:rsidR="00D64150">
        <w:rPr>
          <w:rFonts w:cstheme="minorHAnsi"/>
        </w:rPr>
        <w:t>/SIPIA</w:t>
      </w:r>
      <w:r w:rsidRPr="00C81216">
        <w:rPr>
          <w:rFonts w:cstheme="minorHAnsi"/>
        </w:rPr>
        <w:t xml:space="preserve"> Credit Policy (or another equivalent external agency), in connection with any Operator Credit Vet or appeal by BT under this Annex, and the Operator shall consider such information in good faith.</w:t>
      </w:r>
    </w:p>
    <w:p w14:paraId="0C2A0A38" w14:textId="77777777" w:rsidR="005E2536" w:rsidRPr="00C81216" w:rsidRDefault="005E2536" w:rsidP="00482C40">
      <w:pPr>
        <w:pStyle w:val="BodyText20"/>
        <w:jc w:val="both"/>
        <w:rPr>
          <w:rFonts w:cstheme="minorHAnsi"/>
          <w:b/>
          <w:bCs/>
        </w:rPr>
      </w:pPr>
      <w:r w:rsidRPr="00C81216">
        <w:rPr>
          <w:rFonts w:cstheme="minorHAnsi"/>
          <w:b/>
          <w:bCs/>
        </w:rPr>
        <w:t>Operator: Security Notices</w:t>
      </w:r>
    </w:p>
    <w:p w14:paraId="230D57A6" w14:textId="79456FB4" w:rsidR="005E2536" w:rsidRPr="003A2AB3" w:rsidRDefault="005E2536" w:rsidP="008E40D1">
      <w:pPr>
        <w:ind w:left="720" w:hanging="720"/>
        <w:rPr>
          <w:rFonts w:cstheme="minorHAnsi"/>
        </w:rPr>
      </w:pPr>
      <w:r w:rsidRPr="00B85BBA">
        <w:rPr>
          <w:rFonts w:cstheme="minorHAnsi"/>
        </w:rPr>
        <w:t xml:space="preserve">13.1 </w:t>
      </w:r>
      <w:r w:rsidRPr="00B85BBA">
        <w:rPr>
          <w:rFonts w:cstheme="minorHAnsi"/>
        </w:rPr>
        <w:tab/>
      </w:r>
      <w:r w:rsidRPr="005A6957">
        <w:rPr>
          <w:rFonts w:cstheme="minorHAnsi"/>
        </w:rPr>
        <w:t xml:space="preserve">Without prejudice to any other rights or remedies available to the Operator under this Agreement, if in respect of any calendar month a sum or sums due payable by BT which sums exceed 25% of the respective BT </w:t>
      </w:r>
      <w:r w:rsidR="007C3859">
        <w:rPr>
          <w:rFonts w:cstheme="minorHAnsi"/>
        </w:rPr>
        <w:t>C</w:t>
      </w:r>
      <w:r w:rsidRPr="005A6957">
        <w:rPr>
          <w:rFonts w:cstheme="minorHAnsi"/>
        </w:rPr>
        <w:t xml:space="preserve">alendar </w:t>
      </w:r>
      <w:r w:rsidR="007C3859">
        <w:rPr>
          <w:rFonts w:cstheme="minorHAnsi"/>
        </w:rPr>
        <w:t>M</w:t>
      </w:r>
      <w:r w:rsidR="007C3859" w:rsidRPr="005A6957">
        <w:rPr>
          <w:rFonts w:cstheme="minorHAnsi"/>
        </w:rPr>
        <w:t xml:space="preserve">onth </w:t>
      </w:r>
      <w:r w:rsidR="007C3859">
        <w:rPr>
          <w:rFonts w:cstheme="minorHAnsi"/>
        </w:rPr>
        <w:t>I</w:t>
      </w:r>
      <w:r w:rsidR="007C3859" w:rsidRPr="005A6957">
        <w:rPr>
          <w:rFonts w:cstheme="minorHAnsi"/>
        </w:rPr>
        <w:t xml:space="preserve">nvoice </w:t>
      </w:r>
      <w:r w:rsidR="007C3859">
        <w:rPr>
          <w:rFonts w:cstheme="minorHAnsi"/>
        </w:rPr>
        <w:t>S</w:t>
      </w:r>
      <w:r w:rsidR="007C3859" w:rsidRPr="005A6957">
        <w:rPr>
          <w:rFonts w:cstheme="minorHAnsi"/>
        </w:rPr>
        <w:t>u</w:t>
      </w:r>
      <w:r w:rsidR="007C3859" w:rsidRPr="000F39C9">
        <w:rPr>
          <w:rFonts w:cstheme="minorHAnsi"/>
        </w:rPr>
        <w:t>m</w:t>
      </w:r>
      <w:r w:rsidRPr="000F39C9">
        <w:rPr>
          <w:rFonts w:cstheme="minorHAnsi"/>
        </w:rPr>
        <w:t xml:space="preserve">(s) remain(s) outstanding on a date 15 calendar days after the relevant  Due Date(s), the Operator may serve a Security Notice to BT not later than 90 calendar days from the end of the calendar month for the relevant </w:t>
      </w:r>
      <w:r w:rsidR="007C3859">
        <w:rPr>
          <w:rFonts w:cstheme="minorHAnsi"/>
        </w:rPr>
        <w:t>C</w:t>
      </w:r>
      <w:r w:rsidRPr="000F39C9">
        <w:rPr>
          <w:rFonts w:cstheme="minorHAnsi"/>
        </w:rPr>
        <w:t xml:space="preserve">alendar </w:t>
      </w:r>
      <w:r w:rsidR="007C3859">
        <w:rPr>
          <w:rFonts w:cstheme="minorHAnsi"/>
        </w:rPr>
        <w:t>M</w:t>
      </w:r>
      <w:r w:rsidR="007C3859" w:rsidRPr="000F39C9">
        <w:rPr>
          <w:rFonts w:cstheme="minorHAnsi"/>
        </w:rPr>
        <w:t xml:space="preserve">onth </w:t>
      </w:r>
      <w:r w:rsidR="007C3859">
        <w:rPr>
          <w:rFonts w:cstheme="minorHAnsi"/>
        </w:rPr>
        <w:t>I</w:t>
      </w:r>
      <w:r w:rsidR="007C3859" w:rsidRPr="000F39C9">
        <w:rPr>
          <w:rFonts w:cstheme="minorHAnsi"/>
        </w:rPr>
        <w:t xml:space="preserve">nvoice </w:t>
      </w:r>
      <w:r w:rsidR="007C3859">
        <w:rPr>
          <w:rFonts w:cstheme="minorHAnsi"/>
        </w:rPr>
        <w:t>S</w:t>
      </w:r>
      <w:r w:rsidR="007C3859" w:rsidRPr="000F39C9">
        <w:rPr>
          <w:rFonts w:cstheme="minorHAnsi"/>
        </w:rPr>
        <w:t>um</w:t>
      </w:r>
      <w:r w:rsidRPr="000F39C9">
        <w:rPr>
          <w:rFonts w:cstheme="minorHAnsi"/>
        </w:rPr>
        <w:t xml:space="preserve">. </w:t>
      </w:r>
    </w:p>
    <w:p w14:paraId="55402A57" w14:textId="77777777" w:rsidR="005E2536" w:rsidRPr="00F2672E" w:rsidRDefault="005E2536" w:rsidP="0026279B">
      <w:pPr>
        <w:spacing w:after="0"/>
        <w:ind w:left="720" w:hanging="720"/>
        <w:rPr>
          <w:rFonts w:cstheme="minorHAnsi"/>
        </w:rPr>
      </w:pPr>
      <w:r w:rsidRPr="008017F5">
        <w:rPr>
          <w:rFonts w:cstheme="minorHAnsi"/>
        </w:rPr>
        <w:t xml:space="preserve">13.2 </w:t>
      </w:r>
      <w:r w:rsidRPr="008017F5">
        <w:rPr>
          <w:rFonts w:cstheme="minorHAnsi"/>
        </w:rPr>
        <w:tab/>
        <w:t>BT may appeal against the issue by the Operator of a Security Notice in accordance with paragraph 22.</w:t>
      </w:r>
    </w:p>
    <w:p w14:paraId="53B3412D" w14:textId="77777777" w:rsidR="0026279B" w:rsidRDefault="0026279B" w:rsidP="0026279B">
      <w:pPr>
        <w:pStyle w:val="BodyText20"/>
        <w:spacing w:after="0"/>
        <w:jc w:val="both"/>
        <w:rPr>
          <w:rFonts w:cstheme="minorHAnsi"/>
          <w:b/>
          <w:bCs/>
        </w:rPr>
      </w:pPr>
    </w:p>
    <w:p w14:paraId="73C7A7F9" w14:textId="72697B7C" w:rsidR="005E2536" w:rsidRPr="00C81216" w:rsidRDefault="005E2536" w:rsidP="0026279B">
      <w:pPr>
        <w:pStyle w:val="BodyText20"/>
        <w:spacing w:after="0"/>
        <w:jc w:val="both"/>
        <w:rPr>
          <w:rFonts w:cstheme="minorHAnsi"/>
          <w:b/>
          <w:bCs/>
        </w:rPr>
      </w:pPr>
      <w:r w:rsidRPr="00C81216">
        <w:rPr>
          <w:rFonts w:cstheme="minorHAnsi"/>
          <w:b/>
          <w:bCs/>
        </w:rPr>
        <w:t>Operator: Payment Period Notices</w:t>
      </w:r>
    </w:p>
    <w:p w14:paraId="5B829254" w14:textId="6008CA4C" w:rsidR="005E2536" w:rsidRPr="003A2AB3" w:rsidRDefault="005E2536" w:rsidP="0026279B">
      <w:pPr>
        <w:ind w:left="720" w:hanging="720"/>
        <w:jc w:val="both"/>
        <w:rPr>
          <w:rFonts w:cstheme="minorHAnsi"/>
        </w:rPr>
      </w:pPr>
      <w:r w:rsidRPr="00B85BBA">
        <w:rPr>
          <w:rFonts w:cstheme="minorHAnsi"/>
        </w:rPr>
        <w:t xml:space="preserve">14.1 </w:t>
      </w:r>
      <w:r w:rsidRPr="00B85BBA">
        <w:rPr>
          <w:rFonts w:cstheme="minorHAnsi"/>
        </w:rPr>
        <w:tab/>
        <w:t>If in respect of any calendar month BT fails to pay a sum or sums due payable by BT, which sum</w:t>
      </w:r>
      <w:r w:rsidRPr="005A6957">
        <w:rPr>
          <w:rFonts w:cstheme="minorHAnsi"/>
        </w:rPr>
        <w:t xml:space="preserve">(s) exceed 25% of the respective </w:t>
      </w:r>
      <w:r w:rsidR="007C3859">
        <w:rPr>
          <w:rFonts w:cstheme="minorHAnsi"/>
        </w:rPr>
        <w:t>C</w:t>
      </w:r>
      <w:r w:rsidRPr="005A6957">
        <w:rPr>
          <w:rFonts w:cstheme="minorHAnsi"/>
        </w:rPr>
        <w:t xml:space="preserve">alendar </w:t>
      </w:r>
      <w:r w:rsidR="007C3859">
        <w:rPr>
          <w:rFonts w:cstheme="minorHAnsi"/>
        </w:rPr>
        <w:t>M</w:t>
      </w:r>
      <w:r w:rsidR="007C3859" w:rsidRPr="005A6957">
        <w:rPr>
          <w:rFonts w:cstheme="minorHAnsi"/>
        </w:rPr>
        <w:t xml:space="preserve">onth </w:t>
      </w:r>
      <w:r w:rsidR="007C3859">
        <w:rPr>
          <w:rFonts w:cstheme="minorHAnsi"/>
        </w:rPr>
        <w:t>I</w:t>
      </w:r>
      <w:r w:rsidR="007C3859" w:rsidRPr="005A6957">
        <w:rPr>
          <w:rFonts w:cstheme="minorHAnsi"/>
        </w:rPr>
        <w:t xml:space="preserve">nvoice </w:t>
      </w:r>
      <w:r w:rsidR="007C3859">
        <w:rPr>
          <w:rFonts w:cstheme="minorHAnsi"/>
        </w:rPr>
        <w:t>S</w:t>
      </w:r>
      <w:r w:rsidR="007C3859" w:rsidRPr="005A6957">
        <w:rPr>
          <w:rFonts w:cstheme="minorHAnsi"/>
        </w:rPr>
        <w:t>um</w:t>
      </w:r>
      <w:r w:rsidRPr="005A6957">
        <w:rPr>
          <w:rFonts w:cstheme="minorHAnsi"/>
        </w:rPr>
        <w:t>, and which sum(s) is outstanding more than 7 calendar days after the relevant Due Date(s), but is not outstanding on a date 15 calendar days after such Due Date(s), the Operator may serve a writte</w:t>
      </w:r>
      <w:r w:rsidRPr="000F39C9">
        <w:rPr>
          <w:rFonts w:cstheme="minorHAnsi"/>
        </w:rPr>
        <w:t xml:space="preserve">n Payment Period Notice to BT at any time but not later than 30 calendar days from the payment of such sums. </w:t>
      </w:r>
    </w:p>
    <w:p w14:paraId="6B1AFAA1" w14:textId="77777777" w:rsidR="005E2536" w:rsidRPr="005A6957" w:rsidRDefault="005E2536" w:rsidP="0026279B">
      <w:pPr>
        <w:ind w:left="720" w:hanging="720"/>
        <w:jc w:val="both"/>
        <w:rPr>
          <w:rFonts w:cstheme="minorHAnsi"/>
        </w:rPr>
      </w:pPr>
      <w:r w:rsidRPr="00B85BBA">
        <w:rPr>
          <w:rFonts w:cstheme="minorHAnsi"/>
        </w:rPr>
        <w:lastRenderedPageBreak/>
        <w:t xml:space="preserve">14.2 </w:t>
      </w:r>
      <w:r w:rsidRPr="00B85BBA">
        <w:rPr>
          <w:rFonts w:cstheme="minorHAnsi"/>
        </w:rPr>
        <w:tab/>
        <w:t>BT may appeal against the issue by the Operator of a Payment Period Notice in accordance with paragraph 22.</w:t>
      </w:r>
    </w:p>
    <w:p w14:paraId="7F728CAB" w14:textId="77777777" w:rsidR="005E2536" w:rsidRPr="00C81216" w:rsidRDefault="005E2536" w:rsidP="006E48E1">
      <w:pPr>
        <w:pStyle w:val="BodyText20"/>
        <w:jc w:val="both"/>
        <w:rPr>
          <w:rFonts w:cstheme="minorHAnsi"/>
          <w:b/>
          <w:bCs/>
        </w:rPr>
      </w:pPr>
      <w:r w:rsidRPr="00C81216">
        <w:rPr>
          <w:rFonts w:cstheme="minorHAnsi"/>
          <w:b/>
          <w:bCs/>
        </w:rPr>
        <w:t>Operator: Credit Limit</w:t>
      </w:r>
    </w:p>
    <w:p w14:paraId="486A0247" w14:textId="4C1A3317" w:rsidR="005E2536" w:rsidRDefault="005E2536" w:rsidP="00A10DF9">
      <w:pPr>
        <w:pStyle w:val="BodyText20"/>
        <w:spacing w:line="240" w:lineRule="auto"/>
        <w:jc w:val="both"/>
        <w:rPr>
          <w:rFonts w:cstheme="minorHAnsi"/>
        </w:rPr>
      </w:pPr>
      <w:r w:rsidRPr="00C81216">
        <w:rPr>
          <w:rFonts w:cstheme="minorHAnsi"/>
        </w:rPr>
        <w:t xml:space="preserve">15.1 </w:t>
      </w:r>
      <w:r w:rsidRPr="00C81216">
        <w:rPr>
          <w:rFonts w:cstheme="minorHAnsi"/>
        </w:rPr>
        <w:tab/>
        <w:t>Under paragraph 12.1 the Operator shall set a Credit Limit for BT, and subject to the Credit Vet being Adverse shall notify BT in writing of such Credit Limit and the level of security required for payment of monies arising under this Agreement. Such notification shall include a summary of the Credit Vet information used in setting such Credit Limit, including:</w:t>
      </w:r>
    </w:p>
    <w:p w14:paraId="0D30252C" w14:textId="77777777" w:rsidR="005E2536" w:rsidRPr="00C81216" w:rsidRDefault="005E2536" w:rsidP="00A10DF9">
      <w:pPr>
        <w:pStyle w:val="BodyText20"/>
        <w:numPr>
          <w:ilvl w:val="1"/>
          <w:numId w:val="37"/>
        </w:numPr>
        <w:tabs>
          <w:tab w:val="num" w:pos="2160"/>
        </w:tabs>
        <w:spacing w:line="240" w:lineRule="auto"/>
        <w:jc w:val="both"/>
        <w:rPr>
          <w:rFonts w:cstheme="minorHAnsi"/>
        </w:rPr>
      </w:pPr>
      <w:r w:rsidRPr="00C81216">
        <w:rPr>
          <w:rFonts w:cstheme="minorHAnsi"/>
        </w:rPr>
        <w:t>source(s) of the external Credit Vet information;</w:t>
      </w:r>
    </w:p>
    <w:p w14:paraId="73258EB9" w14:textId="77777777" w:rsidR="00A10DF9" w:rsidRDefault="005E2536" w:rsidP="00A10DF9">
      <w:pPr>
        <w:pStyle w:val="BodyText20"/>
        <w:spacing w:line="240" w:lineRule="auto"/>
        <w:ind w:left="1440"/>
        <w:jc w:val="both"/>
        <w:rPr>
          <w:rFonts w:cstheme="minorHAnsi"/>
        </w:rPr>
      </w:pPr>
      <w:r w:rsidRPr="00C81216">
        <w:rPr>
          <w:rFonts w:cstheme="minorHAnsi"/>
        </w:rPr>
        <w:t>(b) recommendation within such sources;</w:t>
      </w:r>
    </w:p>
    <w:p w14:paraId="5ACB7098" w14:textId="739D4323" w:rsidR="005E2536" w:rsidRDefault="005E2536" w:rsidP="0026279B">
      <w:pPr>
        <w:pStyle w:val="BodyText20"/>
        <w:spacing w:line="240" w:lineRule="auto"/>
        <w:ind w:left="1440"/>
        <w:jc w:val="both"/>
        <w:rPr>
          <w:rFonts w:cstheme="minorHAnsi"/>
        </w:rPr>
      </w:pPr>
      <w:r w:rsidRPr="00C81216">
        <w:rPr>
          <w:rFonts w:cstheme="minorHAnsi"/>
        </w:rPr>
        <w:t>(c) summary of the Operator internal Credit Vet report</w:t>
      </w:r>
    </w:p>
    <w:p w14:paraId="3E23A3B5" w14:textId="77777777" w:rsidR="0026279B" w:rsidRPr="00C81216" w:rsidRDefault="0026279B" w:rsidP="0026279B">
      <w:pPr>
        <w:pStyle w:val="BodyText20"/>
        <w:spacing w:line="240" w:lineRule="auto"/>
        <w:ind w:left="1440"/>
        <w:jc w:val="both"/>
        <w:rPr>
          <w:rFonts w:cstheme="minorHAnsi"/>
        </w:rPr>
      </w:pPr>
    </w:p>
    <w:p w14:paraId="4FC9B629" w14:textId="33C38D7C" w:rsidR="005E2536" w:rsidRPr="00C81216" w:rsidRDefault="005E2536" w:rsidP="0026279B">
      <w:pPr>
        <w:pStyle w:val="BodyText20"/>
        <w:spacing w:line="240" w:lineRule="auto"/>
        <w:jc w:val="both"/>
        <w:rPr>
          <w:rFonts w:cstheme="minorHAnsi"/>
        </w:rPr>
      </w:pPr>
      <w:r w:rsidRPr="00C81216">
        <w:rPr>
          <w:rFonts w:cstheme="minorHAnsi"/>
        </w:rPr>
        <w:t xml:space="preserve">15.2 </w:t>
      </w:r>
      <w:r w:rsidRPr="00C81216">
        <w:rPr>
          <w:rFonts w:cstheme="minorHAnsi"/>
        </w:rPr>
        <w:tab/>
        <w:t xml:space="preserve">The Credit Limit pursuant to paragraph 12.1 shall be set and notified by the Operator at a reasonable sum proportionate to the business credit risk under this Agreement with BT. </w:t>
      </w:r>
    </w:p>
    <w:p w14:paraId="085E14DF" w14:textId="77777777" w:rsidR="005E2536" w:rsidRPr="00C81216" w:rsidRDefault="005E2536" w:rsidP="00A10DF9">
      <w:pPr>
        <w:pStyle w:val="BodyText20"/>
        <w:spacing w:line="240" w:lineRule="auto"/>
        <w:jc w:val="both"/>
        <w:rPr>
          <w:rFonts w:cstheme="minorHAnsi"/>
        </w:rPr>
      </w:pPr>
    </w:p>
    <w:p w14:paraId="1C53578D" w14:textId="77777777" w:rsidR="005E2536" w:rsidRPr="00C81216" w:rsidRDefault="005E2536" w:rsidP="00A10DF9">
      <w:pPr>
        <w:pStyle w:val="BodyText20"/>
        <w:spacing w:line="240" w:lineRule="auto"/>
        <w:jc w:val="both"/>
        <w:rPr>
          <w:rFonts w:cstheme="minorHAnsi"/>
        </w:rPr>
      </w:pPr>
      <w:r w:rsidRPr="00C81216">
        <w:rPr>
          <w:rFonts w:cstheme="minorHAnsi"/>
        </w:rPr>
        <w:t xml:space="preserve">15.3 </w:t>
      </w:r>
      <w:r w:rsidRPr="00C81216">
        <w:rPr>
          <w:rFonts w:cstheme="minorHAnsi"/>
        </w:rPr>
        <w:tab/>
        <w:t>BT may appeal the Credit Vet, the Credit Limit, or whether the Credit Vet is Adverse in accordance with paragraph 22.</w:t>
      </w:r>
    </w:p>
    <w:p w14:paraId="445279F7" w14:textId="77777777" w:rsidR="005E2536" w:rsidRPr="00C81216" w:rsidRDefault="005E2536" w:rsidP="00A10DF9">
      <w:pPr>
        <w:pStyle w:val="BodyText20"/>
        <w:spacing w:line="240" w:lineRule="auto"/>
        <w:jc w:val="both"/>
        <w:rPr>
          <w:rFonts w:cstheme="minorHAnsi"/>
        </w:rPr>
      </w:pPr>
      <w:r w:rsidRPr="00C81216">
        <w:rPr>
          <w:rFonts w:cstheme="minorHAnsi"/>
        </w:rPr>
        <w:t xml:space="preserve"> </w:t>
      </w:r>
    </w:p>
    <w:p w14:paraId="2B1DC5FC" w14:textId="77777777" w:rsidR="005E2536" w:rsidRPr="00C81216" w:rsidRDefault="005E2536" w:rsidP="00A10DF9">
      <w:pPr>
        <w:pStyle w:val="BodyText20"/>
        <w:spacing w:line="240" w:lineRule="auto"/>
        <w:jc w:val="both"/>
        <w:rPr>
          <w:rFonts w:cstheme="minorHAnsi"/>
        </w:rPr>
      </w:pPr>
      <w:r w:rsidRPr="00C81216">
        <w:rPr>
          <w:rFonts w:cstheme="minorHAnsi"/>
        </w:rPr>
        <w:t xml:space="preserve">15.4 </w:t>
      </w:r>
      <w:r w:rsidRPr="00C81216">
        <w:rPr>
          <w:rFonts w:cstheme="minorHAnsi"/>
        </w:rPr>
        <w:tab/>
        <w:t>Either Party shall have the right to require a further Credit Vet after not less than three months’ application of such Credit Limit, to ascertain whether the Credit Limit should be varied or removed. Immediately following such Credit Vet, the Operator shall adjust the Credit Limit and Profile Monitoring Limit (if appropriate) and the Parties shall increase or decrease the sums held by the Operator as security and as Profile Security (as appropriate).</w:t>
      </w:r>
    </w:p>
    <w:p w14:paraId="30411270" w14:textId="77777777" w:rsidR="005E2536" w:rsidRPr="00C81216" w:rsidRDefault="005E2536" w:rsidP="00A10DF9">
      <w:pPr>
        <w:pStyle w:val="BodyText20"/>
        <w:spacing w:line="240" w:lineRule="auto"/>
        <w:jc w:val="both"/>
        <w:rPr>
          <w:rFonts w:cstheme="minorHAnsi"/>
        </w:rPr>
      </w:pPr>
    </w:p>
    <w:p w14:paraId="4B6D2DE0" w14:textId="784C195D" w:rsidR="005E2536" w:rsidRDefault="005E2536" w:rsidP="00A10DF9">
      <w:pPr>
        <w:pStyle w:val="BodyText20"/>
        <w:spacing w:line="240" w:lineRule="auto"/>
        <w:jc w:val="both"/>
        <w:rPr>
          <w:rFonts w:cstheme="minorHAnsi"/>
          <w:b/>
          <w:bCs/>
        </w:rPr>
      </w:pPr>
      <w:r w:rsidRPr="00C81216">
        <w:rPr>
          <w:rFonts w:cstheme="minorHAnsi"/>
          <w:b/>
          <w:bCs/>
        </w:rPr>
        <w:t>Operator: Profile Monitoring Limit</w:t>
      </w:r>
    </w:p>
    <w:p w14:paraId="45189FE7" w14:textId="77777777" w:rsidR="005E2536" w:rsidRPr="00C81216" w:rsidRDefault="005E2536" w:rsidP="0026279B">
      <w:pPr>
        <w:pStyle w:val="BodyText20"/>
        <w:spacing w:before="240" w:after="0" w:line="240" w:lineRule="auto"/>
        <w:jc w:val="both"/>
        <w:rPr>
          <w:rFonts w:cstheme="minorHAnsi"/>
        </w:rPr>
      </w:pPr>
      <w:r w:rsidRPr="00C81216">
        <w:rPr>
          <w:rFonts w:cstheme="minorHAnsi"/>
        </w:rPr>
        <w:t xml:space="preserve">16.1 </w:t>
      </w:r>
      <w:r w:rsidRPr="00C81216">
        <w:rPr>
          <w:rFonts w:cstheme="minorHAnsi"/>
        </w:rPr>
        <w:tab/>
        <w:t>Pursuant to paragraph 12.1 or 12.2, the initial Profile Monitoring Limit shall be the lesser of</w:t>
      </w:r>
    </w:p>
    <w:p w14:paraId="150F1E8F" w14:textId="77777777" w:rsidR="005E2536" w:rsidRPr="00C81216" w:rsidRDefault="005E2536" w:rsidP="0026279B">
      <w:pPr>
        <w:pStyle w:val="BodyText20"/>
        <w:spacing w:before="240" w:after="0" w:line="240" w:lineRule="auto"/>
        <w:jc w:val="both"/>
        <w:rPr>
          <w:rFonts w:cstheme="minorHAnsi"/>
        </w:rPr>
      </w:pPr>
      <w:r w:rsidRPr="00C81216">
        <w:rPr>
          <w:rFonts w:cstheme="minorHAnsi"/>
        </w:rPr>
        <w:t xml:space="preserve">16.1.1 </w:t>
      </w:r>
      <w:r w:rsidRPr="00C81216">
        <w:rPr>
          <w:rFonts w:cstheme="minorHAnsi"/>
        </w:rPr>
        <w:tab/>
      </w:r>
      <w:r w:rsidRPr="00C81216">
        <w:rPr>
          <w:rFonts w:cstheme="minorHAnsi"/>
        </w:rPr>
        <w:tab/>
        <w:t>the Credit Limit set under paragraph 15, or</w:t>
      </w:r>
    </w:p>
    <w:p w14:paraId="1B429436" w14:textId="40303280" w:rsidR="005E2536" w:rsidRPr="00C81216" w:rsidRDefault="005E2536" w:rsidP="0026279B">
      <w:pPr>
        <w:pStyle w:val="BodyText20"/>
        <w:spacing w:before="240" w:line="240" w:lineRule="auto"/>
        <w:ind w:left="1440" w:hanging="1440"/>
        <w:jc w:val="both"/>
        <w:rPr>
          <w:rFonts w:cstheme="minorHAnsi"/>
        </w:rPr>
      </w:pPr>
      <w:r w:rsidRPr="00C81216">
        <w:rPr>
          <w:rFonts w:cstheme="minorHAnsi"/>
        </w:rPr>
        <w:t xml:space="preserve">16.1.2 </w:t>
      </w:r>
      <w:r w:rsidRPr="00C81216">
        <w:rPr>
          <w:rFonts w:cstheme="minorHAnsi"/>
        </w:rPr>
        <w:tab/>
        <w:t xml:space="preserve">if the Profile Monitoring Limit is set as a result of two late payment Notices under this </w:t>
      </w:r>
      <w:r w:rsidR="00F3290C">
        <w:rPr>
          <w:rFonts w:cstheme="minorHAnsi"/>
        </w:rPr>
        <w:t>Annex F</w:t>
      </w:r>
      <w:r w:rsidRPr="00C81216">
        <w:rPr>
          <w:rFonts w:cstheme="minorHAnsi"/>
        </w:rPr>
        <w:t xml:space="preserve"> and BT is not subject to an existing Credit Limit, the arithmetic average of the last three months’ </w:t>
      </w:r>
      <w:r w:rsidR="007C3859">
        <w:rPr>
          <w:rFonts w:cstheme="minorHAnsi"/>
        </w:rPr>
        <w:t>C</w:t>
      </w:r>
      <w:r w:rsidRPr="00C81216">
        <w:rPr>
          <w:rFonts w:cstheme="minorHAnsi"/>
        </w:rPr>
        <w:t xml:space="preserve">alendar </w:t>
      </w:r>
      <w:r w:rsidR="007C3859">
        <w:rPr>
          <w:rFonts w:cstheme="minorHAnsi"/>
        </w:rPr>
        <w:t>M</w:t>
      </w:r>
      <w:r w:rsidR="007C3859" w:rsidRPr="00C81216">
        <w:rPr>
          <w:rFonts w:cstheme="minorHAnsi"/>
        </w:rPr>
        <w:t xml:space="preserve">onth </w:t>
      </w:r>
      <w:r w:rsidR="007C3859">
        <w:rPr>
          <w:rFonts w:cstheme="minorHAnsi"/>
        </w:rPr>
        <w:t>I</w:t>
      </w:r>
      <w:r w:rsidR="007C3859" w:rsidRPr="00C81216">
        <w:rPr>
          <w:rFonts w:cstheme="minorHAnsi"/>
        </w:rPr>
        <w:t xml:space="preserve">nvoice </w:t>
      </w:r>
      <w:r w:rsidR="007C3859">
        <w:rPr>
          <w:rFonts w:cstheme="minorHAnsi"/>
        </w:rPr>
        <w:t>S</w:t>
      </w:r>
      <w:r w:rsidR="007C3859" w:rsidRPr="00C81216">
        <w:rPr>
          <w:rFonts w:cstheme="minorHAnsi"/>
        </w:rPr>
        <w:t>um</w:t>
      </w:r>
      <w:r w:rsidR="007C3859">
        <w:rPr>
          <w:rFonts w:cstheme="minorHAnsi"/>
        </w:rPr>
        <w:t>(</w:t>
      </w:r>
      <w:r w:rsidR="007C3859" w:rsidRPr="00C81216">
        <w:rPr>
          <w:rFonts w:cstheme="minorHAnsi"/>
        </w:rPr>
        <w:t>s</w:t>
      </w:r>
      <w:r w:rsidR="007C3859">
        <w:rPr>
          <w:rFonts w:cstheme="minorHAnsi"/>
        </w:rPr>
        <w:t>)</w:t>
      </w:r>
      <w:r w:rsidR="007C3859" w:rsidRPr="00C81216">
        <w:rPr>
          <w:rFonts w:cstheme="minorHAnsi"/>
        </w:rPr>
        <w:t xml:space="preserve"> </w:t>
      </w:r>
      <w:r w:rsidRPr="00C81216">
        <w:rPr>
          <w:rFonts w:cstheme="minorHAnsi"/>
        </w:rPr>
        <w:t>for BT.</w:t>
      </w:r>
    </w:p>
    <w:p w14:paraId="05BCE354" w14:textId="77777777" w:rsidR="005E2536" w:rsidRPr="00C81216" w:rsidRDefault="005E2536" w:rsidP="0026279B">
      <w:pPr>
        <w:pStyle w:val="BodyText20"/>
        <w:spacing w:line="240" w:lineRule="auto"/>
        <w:jc w:val="both"/>
        <w:rPr>
          <w:rFonts w:cstheme="minorHAnsi"/>
        </w:rPr>
      </w:pPr>
      <w:r w:rsidRPr="00C81216">
        <w:rPr>
          <w:rFonts w:cstheme="minorHAnsi"/>
        </w:rPr>
        <w:t xml:space="preserve">16.2 </w:t>
      </w:r>
      <w:r w:rsidRPr="00C81216">
        <w:rPr>
          <w:rFonts w:cstheme="minorHAnsi"/>
        </w:rPr>
        <w:tab/>
        <w:t>The Profile Monitoring Limit will be increased monthly at the rate of 10%.</w:t>
      </w:r>
    </w:p>
    <w:p w14:paraId="06823D6C" w14:textId="77777777" w:rsidR="005E2536" w:rsidRPr="00C81216" w:rsidRDefault="005E2536" w:rsidP="00A10DF9">
      <w:pPr>
        <w:pStyle w:val="BodyText20"/>
        <w:spacing w:line="240" w:lineRule="auto"/>
        <w:jc w:val="both"/>
        <w:rPr>
          <w:rFonts w:cstheme="minorHAnsi"/>
        </w:rPr>
      </w:pPr>
      <w:r w:rsidRPr="00C81216">
        <w:rPr>
          <w:rFonts w:cstheme="minorHAnsi"/>
        </w:rPr>
        <w:t xml:space="preserve">16.3 </w:t>
      </w:r>
      <w:r w:rsidRPr="00C81216">
        <w:rPr>
          <w:rFonts w:cstheme="minorHAnsi"/>
        </w:rPr>
        <w:tab/>
        <w:t>If BT receives any Payment Period Notice or any Security Notice during the term of Profile Monitoring a new Profile Monitoring Limit shall be calculated in accordance with paragraph 16.1.</w:t>
      </w:r>
    </w:p>
    <w:p w14:paraId="4D7B147A" w14:textId="77777777" w:rsidR="005E2536" w:rsidRPr="00C81216" w:rsidRDefault="005E2536" w:rsidP="00A10DF9">
      <w:pPr>
        <w:pStyle w:val="BodyText20"/>
        <w:spacing w:line="240" w:lineRule="auto"/>
        <w:jc w:val="both"/>
        <w:rPr>
          <w:rFonts w:cstheme="minorHAnsi"/>
        </w:rPr>
      </w:pPr>
    </w:p>
    <w:p w14:paraId="05CD67A9" w14:textId="77777777" w:rsidR="005E2536" w:rsidRPr="00C81216" w:rsidRDefault="005E2536" w:rsidP="0026279B">
      <w:pPr>
        <w:pStyle w:val="BodyText20"/>
        <w:spacing w:line="240" w:lineRule="auto"/>
        <w:jc w:val="both"/>
        <w:rPr>
          <w:rFonts w:cstheme="minorHAnsi"/>
          <w:i/>
          <w:iCs/>
        </w:rPr>
      </w:pPr>
      <w:r w:rsidRPr="00C81216">
        <w:rPr>
          <w:rFonts w:cstheme="minorHAnsi"/>
        </w:rPr>
        <w:t xml:space="preserve">16.4 </w:t>
      </w:r>
      <w:r w:rsidRPr="00C81216">
        <w:rPr>
          <w:rFonts w:cstheme="minorHAnsi"/>
        </w:rPr>
        <w:tab/>
        <w:t>The Profile Monitoring Limit pursuant to paragraph 16.1 shall be set and notified by the Operator at a reasonable sum proportionate to the business credit risk under this Agreement with the Operator.</w:t>
      </w:r>
    </w:p>
    <w:p w14:paraId="71CD4A41" w14:textId="77777777" w:rsidR="008D531C" w:rsidRDefault="008D531C" w:rsidP="0026279B">
      <w:pPr>
        <w:spacing w:after="120" w:line="240" w:lineRule="auto"/>
        <w:jc w:val="both"/>
        <w:rPr>
          <w:rFonts w:cstheme="minorHAnsi"/>
          <w:b/>
          <w:bCs/>
        </w:rPr>
      </w:pPr>
    </w:p>
    <w:p w14:paraId="731FBD27" w14:textId="77777777" w:rsidR="008D531C" w:rsidRDefault="008D531C" w:rsidP="0026279B">
      <w:pPr>
        <w:spacing w:after="120" w:line="240" w:lineRule="auto"/>
        <w:jc w:val="both"/>
        <w:rPr>
          <w:rFonts w:cstheme="minorHAnsi"/>
          <w:b/>
          <w:bCs/>
        </w:rPr>
      </w:pPr>
    </w:p>
    <w:p w14:paraId="1352616F" w14:textId="77777777" w:rsidR="008D531C" w:rsidRDefault="008D531C" w:rsidP="0026279B">
      <w:pPr>
        <w:spacing w:after="120" w:line="240" w:lineRule="auto"/>
        <w:jc w:val="both"/>
        <w:rPr>
          <w:rFonts w:cstheme="minorHAnsi"/>
          <w:b/>
          <w:bCs/>
        </w:rPr>
      </w:pPr>
    </w:p>
    <w:p w14:paraId="4CC18675" w14:textId="23A88711" w:rsidR="005E2536" w:rsidRDefault="005E2536" w:rsidP="0026279B">
      <w:pPr>
        <w:spacing w:after="120" w:line="240" w:lineRule="auto"/>
        <w:jc w:val="both"/>
        <w:rPr>
          <w:rFonts w:cstheme="minorHAnsi"/>
          <w:b/>
          <w:bCs/>
        </w:rPr>
      </w:pPr>
      <w:r w:rsidRPr="00C81216">
        <w:rPr>
          <w:rFonts w:cstheme="minorHAnsi"/>
          <w:b/>
          <w:bCs/>
        </w:rPr>
        <w:lastRenderedPageBreak/>
        <w:t>Operator: Security</w:t>
      </w:r>
    </w:p>
    <w:p w14:paraId="42239003" w14:textId="77777777" w:rsidR="0026279B" w:rsidRPr="0026279B" w:rsidRDefault="0026279B" w:rsidP="0026279B">
      <w:pPr>
        <w:spacing w:after="120" w:line="240" w:lineRule="auto"/>
        <w:jc w:val="both"/>
        <w:rPr>
          <w:rFonts w:cstheme="minorHAnsi"/>
          <w:b/>
          <w:bCs/>
        </w:rPr>
      </w:pPr>
    </w:p>
    <w:p w14:paraId="3750088D" w14:textId="77777777" w:rsidR="005E2536" w:rsidRPr="00C81216" w:rsidRDefault="005E2536" w:rsidP="0026279B">
      <w:pPr>
        <w:pStyle w:val="BodyText20"/>
        <w:spacing w:line="240" w:lineRule="auto"/>
        <w:jc w:val="both"/>
        <w:rPr>
          <w:rFonts w:cstheme="minorHAnsi"/>
        </w:rPr>
      </w:pPr>
      <w:r w:rsidRPr="00C81216">
        <w:rPr>
          <w:rFonts w:cstheme="minorHAnsi"/>
        </w:rPr>
        <w:t xml:space="preserve">17.1 </w:t>
      </w:r>
      <w:r w:rsidRPr="00C81216">
        <w:rPr>
          <w:rFonts w:cstheme="minorHAnsi"/>
        </w:rPr>
        <w:tab/>
        <w:t>Following the notification of a Credit Limit under the Agreement, the Parties shall use reasonable endeavours to agree the provision by BT of a deposit and/or a Set-off arrangement, or such other financial security as may be agreed between the Parties in writing, as security for payment of monies under this Agreement, or to implement an advance payment scheme in accordance with paragraph 18. The maximum amount for security under this paragraph 17 calculated by the Operator shall not exceed a sum equivalent to the previous 3 months’ total invoicing by the Operator to BT under this Agreement.</w:t>
      </w:r>
    </w:p>
    <w:p w14:paraId="7CCF5556" w14:textId="77777777" w:rsidR="005E2536" w:rsidRPr="00C81216" w:rsidRDefault="005E2536" w:rsidP="0026279B">
      <w:pPr>
        <w:pStyle w:val="BodyText20"/>
        <w:spacing w:line="240" w:lineRule="auto"/>
        <w:jc w:val="both"/>
        <w:rPr>
          <w:rFonts w:cstheme="minorHAnsi"/>
        </w:rPr>
      </w:pPr>
      <w:r w:rsidRPr="00C81216">
        <w:rPr>
          <w:rFonts w:cstheme="minorHAnsi"/>
        </w:rPr>
        <w:t xml:space="preserve">17.2 </w:t>
      </w:r>
      <w:r w:rsidRPr="00C81216">
        <w:rPr>
          <w:rFonts w:cstheme="minorHAnsi"/>
        </w:rPr>
        <w:tab/>
        <w:t>The Operator shall be entitled to refuse or suspend orders, or restrict traffic which would cause business in excess of the Credit Limit until appropriate security has been supplied to the Operator’s reasonable satisfaction.</w:t>
      </w:r>
    </w:p>
    <w:p w14:paraId="44ED902B" w14:textId="5BA41F27" w:rsidR="005E2536" w:rsidRPr="00C81216" w:rsidRDefault="005E2536" w:rsidP="0026279B">
      <w:pPr>
        <w:pStyle w:val="BodyText0"/>
        <w:spacing w:after="120"/>
        <w:ind w:left="720" w:hanging="720"/>
        <w:rPr>
          <w:rFonts w:asciiTheme="minorHAnsi" w:hAnsiTheme="minorHAnsi" w:cstheme="minorHAnsi"/>
          <w:sz w:val="22"/>
          <w:szCs w:val="22"/>
        </w:rPr>
      </w:pPr>
      <w:r w:rsidRPr="00C81216">
        <w:rPr>
          <w:rFonts w:asciiTheme="minorHAnsi" w:hAnsiTheme="minorHAnsi" w:cstheme="minorHAnsi"/>
          <w:sz w:val="22"/>
          <w:szCs w:val="22"/>
        </w:rPr>
        <w:t xml:space="preserve">17.3. </w:t>
      </w:r>
      <w:r w:rsidRPr="00C81216">
        <w:rPr>
          <w:rFonts w:asciiTheme="minorHAnsi" w:hAnsiTheme="minorHAnsi" w:cstheme="minorHAnsi"/>
          <w:sz w:val="22"/>
          <w:szCs w:val="22"/>
        </w:rPr>
        <w:tab/>
        <w:t xml:space="preserve">The Operator shall continue to hold such security until payment by BT of sums due under the Agreement not later than 7 calendar days after the Due Date (as defined in Annex D, or as described in this </w:t>
      </w:r>
      <w:r w:rsidR="00F3290C">
        <w:rPr>
          <w:rFonts w:asciiTheme="minorHAnsi" w:hAnsiTheme="minorHAnsi" w:cstheme="minorHAnsi"/>
          <w:sz w:val="22"/>
          <w:szCs w:val="22"/>
        </w:rPr>
        <w:t>Annex F</w:t>
      </w:r>
      <w:r w:rsidRPr="00C81216">
        <w:rPr>
          <w:rFonts w:asciiTheme="minorHAnsi" w:hAnsiTheme="minorHAnsi" w:cstheme="minorHAnsi"/>
          <w:sz w:val="22"/>
          <w:szCs w:val="22"/>
        </w:rPr>
        <w:t xml:space="preserve"> for the purposes of this </w:t>
      </w:r>
      <w:r w:rsidR="00F3290C">
        <w:rPr>
          <w:rFonts w:asciiTheme="minorHAnsi" w:hAnsiTheme="minorHAnsi" w:cstheme="minorHAnsi"/>
          <w:sz w:val="22"/>
          <w:szCs w:val="22"/>
        </w:rPr>
        <w:t>Annex F</w:t>
      </w:r>
      <w:r w:rsidRPr="00C81216">
        <w:rPr>
          <w:rFonts w:asciiTheme="minorHAnsi" w:hAnsiTheme="minorHAnsi" w:cstheme="minorHAnsi"/>
          <w:sz w:val="22"/>
          <w:szCs w:val="22"/>
        </w:rPr>
        <w:t xml:space="preserve">) for 12 consecutive calendar months (other than a sum or sums due in any such month which sums do not exceed 25% of the relevant BT </w:t>
      </w:r>
      <w:r w:rsidR="007C3859">
        <w:rPr>
          <w:rFonts w:asciiTheme="minorHAnsi" w:hAnsiTheme="minorHAnsi" w:cstheme="minorHAnsi"/>
          <w:sz w:val="22"/>
          <w:szCs w:val="22"/>
        </w:rPr>
        <w:t>C</w:t>
      </w:r>
      <w:r w:rsidRPr="00C81216">
        <w:rPr>
          <w:rFonts w:asciiTheme="minorHAnsi" w:hAnsiTheme="minorHAnsi" w:cstheme="minorHAnsi"/>
          <w:sz w:val="22"/>
          <w:szCs w:val="22"/>
        </w:rPr>
        <w:t xml:space="preserve">alendar </w:t>
      </w:r>
      <w:r w:rsidR="007C3859">
        <w:rPr>
          <w:rFonts w:asciiTheme="minorHAnsi" w:hAnsiTheme="minorHAnsi" w:cstheme="minorHAnsi"/>
          <w:sz w:val="22"/>
          <w:szCs w:val="22"/>
        </w:rPr>
        <w:t>M</w:t>
      </w:r>
      <w:r w:rsidR="007C3859" w:rsidRPr="00C81216">
        <w:rPr>
          <w:rFonts w:asciiTheme="minorHAnsi" w:hAnsiTheme="minorHAnsi" w:cstheme="minorHAnsi"/>
          <w:sz w:val="22"/>
          <w:szCs w:val="22"/>
        </w:rPr>
        <w:t xml:space="preserve">onth </w:t>
      </w:r>
      <w:r w:rsidR="007C3859">
        <w:rPr>
          <w:rFonts w:asciiTheme="minorHAnsi" w:hAnsiTheme="minorHAnsi" w:cstheme="minorHAnsi"/>
          <w:sz w:val="22"/>
          <w:szCs w:val="22"/>
        </w:rPr>
        <w:t>I</w:t>
      </w:r>
      <w:r w:rsidR="007C3859" w:rsidRPr="00C81216">
        <w:rPr>
          <w:rFonts w:asciiTheme="minorHAnsi" w:hAnsiTheme="minorHAnsi" w:cstheme="minorHAnsi"/>
          <w:sz w:val="22"/>
          <w:szCs w:val="22"/>
        </w:rPr>
        <w:t xml:space="preserve">nvoice </w:t>
      </w:r>
      <w:r w:rsidR="007C3859">
        <w:rPr>
          <w:rFonts w:asciiTheme="minorHAnsi" w:hAnsiTheme="minorHAnsi" w:cstheme="minorHAnsi"/>
          <w:sz w:val="22"/>
          <w:szCs w:val="22"/>
        </w:rPr>
        <w:t>S</w:t>
      </w:r>
      <w:r w:rsidR="007C3859" w:rsidRPr="00C81216">
        <w:rPr>
          <w:rFonts w:asciiTheme="minorHAnsi" w:hAnsiTheme="minorHAnsi" w:cstheme="minorHAnsi"/>
          <w:sz w:val="22"/>
          <w:szCs w:val="22"/>
        </w:rPr>
        <w:t>um</w:t>
      </w:r>
      <w:r w:rsidRPr="00C81216">
        <w:rPr>
          <w:rFonts w:asciiTheme="minorHAnsi" w:hAnsiTheme="minorHAnsi" w:cstheme="minorHAnsi"/>
          <w:sz w:val="22"/>
          <w:szCs w:val="22"/>
        </w:rPr>
        <w:t>(s) for such months).</w:t>
      </w:r>
    </w:p>
    <w:p w14:paraId="68C08834" w14:textId="77777777" w:rsidR="005E2536" w:rsidRPr="00C81216" w:rsidRDefault="005E2536">
      <w:pPr>
        <w:pStyle w:val="BodyText0"/>
        <w:rPr>
          <w:rFonts w:asciiTheme="minorHAnsi" w:hAnsiTheme="minorHAnsi" w:cstheme="minorHAnsi"/>
          <w:sz w:val="22"/>
          <w:szCs w:val="22"/>
        </w:rPr>
      </w:pPr>
    </w:p>
    <w:p w14:paraId="3D3610C7" w14:textId="31E7C9A2" w:rsidR="005E2536" w:rsidRPr="00C81216" w:rsidRDefault="005E2536">
      <w:pPr>
        <w:pStyle w:val="BodyText0"/>
        <w:ind w:left="720" w:hanging="720"/>
        <w:rPr>
          <w:rFonts w:asciiTheme="minorHAnsi" w:hAnsiTheme="minorHAnsi" w:cstheme="minorHAnsi"/>
          <w:sz w:val="22"/>
          <w:szCs w:val="22"/>
        </w:rPr>
      </w:pPr>
      <w:r w:rsidRPr="00C81216">
        <w:rPr>
          <w:rFonts w:asciiTheme="minorHAnsi" w:hAnsiTheme="minorHAnsi" w:cstheme="minorHAnsi"/>
          <w:sz w:val="22"/>
          <w:szCs w:val="22"/>
        </w:rPr>
        <w:t xml:space="preserve">17.4 </w:t>
      </w:r>
      <w:r w:rsidRPr="00C81216">
        <w:rPr>
          <w:rFonts w:asciiTheme="minorHAnsi" w:hAnsiTheme="minorHAnsi" w:cstheme="minorHAnsi"/>
          <w:sz w:val="22"/>
          <w:szCs w:val="22"/>
        </w:rPr>
        <w:tab/>
        <w:t xml:space="preserve">If BT supplies a deposit to the Operator under this </w:t>
      </w:r>
      <w:r w:rsidR="00F3290C">
        <w:rPr>
          <w:rFonts w:asciiTheme="minorHAnsi" w:hAnsiTheme="minorHAnsi" w:cstheme="minorHAnsi"/>
          <w:sz w:val="22"/>
          <w:szCs w:val="22"/>
        </w:rPr>
        <w:t>Annex F</w:t>
      </w:r>
      <w:r w:rsidRPr="00C81216">
        <w:rPr>
          <w:rFonts w:asciiTheme="minorHAnsi" w:hAnsiTheme="minorHAnsi" w:cstheme="minorHAnsi"/>
          <w:sz w:val="22"/>
          <w:szCs w:val="22"/>
        </w:rPr>
        <w:t>, the Operator shall pay interest on such deposit at the Deposit Interest Rate for:</w:t>
      </w:r>
    </w:p>
    <w:p w14:paraId="5E2E6C9F" w14:textId="77777777" w:rsidR="005E2536" w:rsidRPr="00C81216" w:rsidRDefault="005E2536">
      <w:pPr>
        <w:pStyle w:val="BodyText0"/>
        <w:rPr>
          <w:rFonts w:asciiTheme="minorHAnsi" w:hAnsiTheme="minorHAnsi" w:cstheme="minorHAnsi"/>
          <w:sz w:val="22"/>
          <w:szCs w:val="22"/>
        </w:rPr>
      </w:pPr>
    </w:p>
    <w:p w14:paraId="3609F0CB" w14:textId="77777777" w:rsidR="005E2536" w:rsidRPr="00C81216" w:rsidRDefault="005E2536">
      <w:pPr>
        <w:pStyle w:val="BodyText0"/>
        <w:ind w:left="1440" w:hanging="1440"/>
        <w:rPr>
          <w:rFonts w:asciiTheme="minorHAnsi" w:hAnsiTheme="minorHAnsi" w:cstheme="minorHAnsi"/>
          <w:sz w:val="22"/>
          <w:szCs w:val="22"/>
        </w:rPr>
      </w:pPr>
      <w:r w:rsidRPr="00C81216">
        <w:rPr>
          <w:rFonts w:asciiTheme="minorHAnsi" w:hAnsiTheme="minorHAnsi" w:cstheme="minorHAnsi"/>
          <w:sz w:val="22"/>
          <w:szCs w:val="22"/>
        </w:rPr>
        <w:t xml:space="preserve">17.4.1 </w:t>
      </w:r>
      <w:r w:rsidRPr="00C81216">
        <w:rPr>
          <w:rFonts w:asciiTheme="minorHAnsi" w:hAnsiTheme="minorHAnsi" w:cstheme="minorHAnsi"/>
          <w:sz w:val="22"/>
          <w:szCs w:val="22"/>
        </w:rPr>
        <w:tab/>
        <w:t>the initial three month period (being the three month period commencing on the (banking) day when the deposit was received) if the total interest calculated at the Deposit Interest Rate for such three month period exceeds £1,000, and BT raises an invoice for the interest which invoice applies the appropriate VAT</w:t>
      </w:r>
    </w:p>
    <w:p w14:paraId="36677E34" w14:textId="77777777" w:rsidR="005E2536" w:rsidRPr="00C81216" w:rsidRDefault="005E2536">
      <w:pPr>
        <w:pStyle w:val="BodyText0"/>
        <w:rPr>
          <w:rFonts w:asciiTheme="minorHAnsi" w:hAnsiTheme="minorHAnsi" w:cstheme="minorHAnsi"/>
          <w:sz w:val="22"/>
          <w:szCs w:val="22"/>
        </w:rPr>
      </w:pPr>
    </w:p>
    <w:p w14:paraId="3B615E4B" w14:textId="77777777" w:rsidR="005E2536" w:rsidRPr="00C81216" w:rsidRDefault="005E2536">
      <w:pPr>
        <w:pStyle w:val="BodyText0"/>
        <w:rPr>
          <w:rFonts w:asciiTheme="minorHAnsi" w:hAnsiTheme="minorHAnsi" w:cstheme="minorHAnsi"/>
          <w:sz w:val="22"/>
          <w:szCs w:val="22"/>
        </w:rPr>
      </w:pPr>
      <w:r w:rsidRPr="00C81216">
        <w:rPr>
          <w:rFonts w:asciiTheme="minorHAnsi" w:hAnsiTheme="minorHAnsi" w:cstheme="minorHAnsi"/>
          <w:sz w:val="22"/>
          <w:szCs w:val="22"/>
        </w:rPr>
        <w:t xml:space="preserve">17.4.2 </w:t>
      </w:r>
      <w:r w:rsidRPr="00C81216">
        <w:rPr>
          <w:rFonts w:asciiTheme="minorHAnsi" w:hAnsiTheme="minorHAnsi" w:cstheme="minorHAnsi"/>
          <w:sz w:val="22"/>
          <w:szCs w:val="22"/>
        </w:rPr>
        <w:tab/>
      </w:r>
      <w:r w:rsidRPr="00C81216">
        <w:rPr>
          <w:rFonts w:asciiTheme="minorHAnsi" w:hAnsiTheme="minorHAnsi" w:cstheme="minorHAnsi"/>
          <w:sz w:val="22"/>
          <w:szCs w:val="22"/>
        </w:rPr>
        <w:tab/>
        <w:t>the period after the initial three month period referred to in paragraph 17 .4.1.</w:t>
      </w:r>
    </w:p>
    <w:p w14:paraId="216B2F13" w14:textId="77777777" w:rsidR="005E2536" w:rsidRPr="00C81216" w:rsidRDefault="005E2536">
      <w:pPr>
        <w:pStyle w:val="BodyText0"/>
        <w:rPr>
          <w:rFonts w:asciiTheme="minorHAnsi" w:hAnsiTheme="minorHAnsi" w:cstheme="minorHAnsi"/>
          <w:sz w:val="22"/>
          <w:szCs w:val="22"/>
        </w:rPr>
      </w:pPr>
    </w:p>
    <w:p w14:paraId="27F9BEDA" w14:textId="77777777" w:rsidR="005E2536" w:rsidRPr="00C81216" w:rsidRDefault="005E2536">
      <w:pPr>
        <w:jc w:val="both"/>
        <w:rPr>
          <w:rFonts w:cstheme="minorHAnsi"/>
          <w:b/>
          <w:bCs/>
        </w:rPr>
      </w:pPr>
      <w:r w:rsidRPr="00C81216">
        <w:rPr>
          <w:rFonts w:cstheme="minorHAnsi"/>
          <w:b/>
          <w:bCs/>
        </w:rPr>
        <w:t>Operator: Advance Payment Option</w:t>
      </w:r>
    </w:p>
    <w:p w14:paraId="331B6798" w14:textId="77777777" w:rsidR="005E2536" w:rsidRPr="00C81216" w:rsidRDefault="005E2536">
      <w:pPr>
        <w:jc w:val="both"/>
        <w:rPr>
          <w:rFonts w:cstheme="minorHAnsi"/>
        </w:rPr>
      </w:pPr>
    </w:p>
    <w:p w14:paraId="3D62071D" w14:textId="5F436979" w:rsidR="005E2536" w:rsidRPr="00C81216" w:rsidRDefault="005E2536" w:rsidP="005B4A77">
      <w:pPr>
        <w:pStyle w:val="BodyText20"/>
        <w:spacing w:line="240" w:lineRule="auto"/>
        <w:ind w:left="720" w:hanging="720"/>
        <w:jc w:val="both"/>
        <w:rPr>
          <w:rFonts w:cstheme="minorHAnsi"/>
        </w:rPr>
      </w:pPr>
      <w:r w:rsidRPr="00C81216">
        <w:rPr>
          <w:rFonts w:cstheme="minorHAnsi"/>
        </w:rPr>
        <w:t>18.1</w:t>
      </w:r>
      <w:r w:rsidRPr="00C81216">
        <w:rPr>
          <w:rFonts w:cstheme="minorHAnsi"/>
        </w:rPr>
        <w:tab/>
        <w:t xml:space="preserve">If the Operator and BT agree the introduction of an advance payment regime pursuant to </w:t>
      </w:r>
      <w:r w:rsidR="005B4A77">
        <w:rPr>
          <w:rFonts w:cstheme="minorHAnsi"/>
        </w:rPr>
        <w:t>p</w:t>
      </w:r>
      <w:r w:rsidRPr="00C81216">
        <w:rPr>
          <w:rFonts w:cstheme="minorHAnsi"/>
        </w:rPr>
        <w:t>aragraph 17, for Operator services invoiced:</w:t>
      </w:r>
    </w:p>
    <w:p w14:paraId="46C0CADE" w14:textId="77777777" w:rsidR="005E2536" w:rsidRPr="00C81216" w:rsidRDefault="005E2536" w:rsidP="0026279B">
      <w:pPr>
        <w:pStyle w:val="BodyText20"/>
        <w:spacing w:before="240" w:line="240" w:lineRule="auto"/>
        <w:ind w:left="1440" w:hanging="873"/>
        <w:jc w:val="both"/>
        <w:rPr>
          <w:rFonts w:cstheme="minorHAnsi"/>
        </w:rPr>
      </w:pPr>
      <w:r w:rsidRPr="00C81216">
        <w:rPr>
          <w:rFonts w:cstheme="minorHAnsi"/>
        </w:rPr>
        <w:t xml:space="preserve">18.1.1 </w:t>
      </w:r>
      <w:r w:rsidRPr="00C81216">
        <w:rPr>
          <w:rFonts w:cstheme="minorHAnsi"/>
        </w:rPr>
        <w:tab/>
        <w:t>in advance, such services shall continue to be invoiced by the Operator and payable by BT in accordance with the standard terms in this Agreement;</w:t>
      </w:r>
    </w:p>
    <w:p w14:paraId="6C258975" w14:textId="77777777" w:rsidR="005E2536" w:rsidRPr="00C81216" w:rsidRDefault="005E2536" w:rsidP="0026279B">
      <w:pPr>
        <w:spacing w:before="240"/>
        <w:ind w:left="1440" w:hanging="873"/>
        <w:jc w:val="both"/>
        <w:rPr>
          <w:rFonts w:cstheme="minorHAnsi"/>
        </w:rPr>
      </w:pPr>
      <w:r w:rsidRPr="00C81216">
        <w:rPr>
          <w:rFonts w:cstheme="minorHAnsi"/>
        </w:rPr>
        <w:t xml:space="preserve">18.1.2 </w:t>
      </w:r>
      <w:r w:rsidRPr="00C81216">
        <w:rPr>
          <w:rFonts w:cstheme="minorHAnsi"/>
        </w:rPr>
        <w:tab/>
        <w:t>in arrears, the Operator shall notify BT in writing not later than the 15</w:t>
      </w:r>
      <w:r w:rsidRPr="00C81216">
        <w:rPr>
          <w:rFonts w:cstheme="minorHAnsi"/>
          <w:vertAlign w:val="superscript"/>
        </w:rPr>
        <w:t>th</w:t>
      </w:r>
      <w:r w:rsidRPr="00C81216">
        <w:rPr>
          <w:rFonts w:cstheme="minorHAnsi"/>
        </w:rPr>
        <w:t xml:space="preserve"> calendar day of each month of the Operator’s reasonable estimate of the monies (being monies estimated by the Operator for payment for services to be supplied under this Agreement by the Operator to BT) for the following month, and BT shall pay to the Operator not less than 50% of that estimate before the 1</w:t>
      </w:r>
      <w:r w:rsidRPr="00C81216">
        <w:rPr>
          <w:rFonts w:cstheme="minorHAnsi"/>
          <w:vertAlign w:val="superscript"/>
        </w:rPr>
        <w:t>st</w:t>
      </w:r>
      <w:r w:rsidRPr="00C81216">
        <w:rPr>
          <w:rFonts w:cstheme="minorHAnsi"/>
        </w:rPr>
        <w:t xml:space="preserve"> and 15</w:t>
      </w:r>
      <w:r w:rsidRPr="00C81216">
        <w:rPr>
          <w:rFonts w:cstheme="minorHAnsi"/>
          <w:vertAlign w:val="superscript"/>
        </w:rPr>
        <w:t>th</w:t>
      </w:r>
      <w:r w:rsidRPr="00C81216">
        <w:rPr>
          <w:rFonts w:cstheme="minorHAnsi"/>
        </w:rPr>
        <w:t xml:space="preserve"> calendar days of the next following month (for the purposes of this paragraph 18.1.2, the “Due Date”) in advance of invoice. Such payment regime shall continue until all sums due have been paid by the Due Date (as described in this paragraph 18.1.2) for 12 subsequent consecutive calendar months (unless the Operator and BT shall agree to replace this advance payment regime with security pursuant to paragraph 17). </w:t>
      </w:r>
    </w:p>
    <w:p w14:paraId="53F5EB89" w14:textId="77777777" w:rsidR="005E2536" w:rsidRPr="00C81216" w:rsidRDefault="005E2536">
      <w:pPr>
        <w:ind w:left="720" w:hanging="720"/>
        <w:jc w:val="both"/>
        <w:rPr>
          <w:rFonts w:cstheme="minorHAnsi"/>
        </w:rPr>
      </w:pPr>
      <w:r w:rsidRPr="00C81216">
        <w:rPr>
          <w:rFonts w:cstheme="minorHAnsi"/>
        </w:rPr>
        <w:lastRenderedPageBreak/>
        <w:t xml:space="preserve">18.2 </w:t>
      </w:r>
      <w:r w:rsidRPr="00C81216">
        <w:rPr>
          <w:rFonts w:cstheme="minorHAnsi"/>
        </w:rPr>
        <w:tab/>
        <w:t xml:space="preserve">For the avoidance of doubt if the actual use of the services differs from the estimated use (used by the Operator for the calculation of the estimate) and as a consequence the actual amount subsequently invoiced by the Operator against the estimates paid by BT under paragraph 18.1.2: </w:t>
      </w:r>
    </w:p>
    <w:p w14:paraId="3A6CF046" w14:textId="77777777" w:rsidR="005E2536" w:rsidRPr="00C81216" w:rsidRDefault="005E2536" w:rsidP="005B4A77">
      <w:pPr>
        <w:spacing w:after="0" w:line="240" w:lineRule="auto"/>
        <w:ind w:left="720" w:firstLine="720"/>
        <w:jc w:val="both"/>
        <w:rPr>
          <w:rFonts w:cstheme="minorHAnsi"/>
        </w:rPr>
      </w:pPr>
      <w:r w:rsidRPr="00C81216">
        <w:rPr>
          <w:rFonts w:cstheme="minorHAnsi"/>
        </w:rPr>
        <w:t>(a)</w:t>
      </w:r>
      <w:r w:rsidRPr="00C81216">
        <w:rPr>
          <w:rFonts w:cstheme="minorHAnsi"/>
        </w:rPr>
        <w:tab/>
        <w:t>exceeds; or</w:t>
      </w:r>
    </w:p>
    <w:p w14:paraId="004A919D" w14:textId="77777777" w:rsidR="005E2536" w:rsidRPr="00C81216" w:rsidRDefault="005E2536" w:rsidP="005B4A77">
      <w:pPr>
        <w:spacing w:after="0" w:line="240" w:lineRule="auto"/>
        <w:ind w:left="720" w:firstLine="720"/>
        <w:jc w:val="both"/>
        <w:rPr>
          <w:rFonts w:cstheme="minorHAnsi"/>
        </w:rPr>
      </w:pPr>
    </w:p>
    <w:p w14:paraId="47C0E1E4" w14:textId="77777777" w:rsidR="005E2536" w:rsidRPr="00C81216" w:rsidRDefault="005E2536" w:rsidP="005B4A77">
      <w:pPr>
        <w:spacing w:after="0" w:line="240" w:lineRule="auto"/>
        <w:ind w:left="720" w:firstLine="720"/>
        <w:jc w:val="both"/>
        <w:rPr>
          <w:rFonts w:cstheme="minorHAnsi"/>
        </w:rPr>
      </w:pPr>
      <w:r w:rsidRPr="00C81216">
        <w:rPr>
          <w:rFonts w:cstheme="minorHAnsi"/>
        </w:rPr>
        <w:t>(b)</w:t>
      </w:r>
      <w:r w:rsidRPr="00C81216">
        <w:rPr>
          <w:rFonts w:cstheme="minorHAnsi"/>
        </w:rPr>
        <w:tab/>
        <w:t>is less than</w:t>
      </w:r>
    </w:p>
    <w:p w14:paraId="4DA6C7F6" w14:textId="77777777" w:rsidR="005E2536" w:rsidRPr="00C81216" w:rsidRDefault="005E2536">
      <w:pPr>
        <w:ind w:left="720"/>
        <w:jc w:val="both"/>
        <w:rPr>
          <w:rFonts w:cstheme="minorHAnsi"/>
        </w:rPr>
      </w:pPr>
    </w:p>
    <w:p w14:paraId="12521252" w14:textId="77777777" w:rsidR="005E2536" w:rsidRPr="00C81216" w:rsidRDefault="005E2536">
      <w:pPr>
        <w:ind w:left="720"/>
        <w:jc w:val="both"/>
        <w:rPr>
          <w:rFonts w:cstheme="minorHAnsi"/>
        </w:rPr>
      </w:pPr>
      <w:r w:rsidRPr="00C81216">
        <w:rPr>
          <w:rFonts w:cstheme="minorHAnsi"/>
        </w:rPr>
        <w:t>such estimates then in the case of (a) above, BT shall, not later than 7 Working Days after the relevant invoice date pay the difference to the Operator; and in the case of (b) above the Operator shall allow such over-payment against the next estimate (if any) payable by BT or the next invoice (as appropriate) payable by BT. For the avoidance of doubt, and without prejudice to the application of the Ofcom Interest Rate or Default Interest Rate as applicable in accordance with this Agreement, no Ofcom Interest Rate or Default Interest Rate shall be payable in respect of any payment or credit adjustment made solely in accordance with this paragraph 18.2.</w:t>
      </w:r>
    </w:p>
    <w:p w14:paraId="7195811E" w14:textId="77777777" w:rsidR="005E2536" w:rsidRPr="00C81216" w:rsidRDefault="005E2536">
      <w:pPr>
        <w:jc w:val="both"/>
        <w:rPr>
          <w:rFonts w:cstheme="minorHAnsi"/>
        </w:rPr>
      </w:pPr>
    </w:p>
    <w:p w14:paraId="0F8757FC" w14:textId="77777777" w:rsidR="005E2536" w:rsidRPr="00C81216" w:rsidRDefault="005E2536">
      <w:pPr>
        <w:ind w:left="720" w:hanging="720"/>
        <w:jc w:val="both"/>
        <w:rPr>
          <w:rFonts w:cstheme="minorHAnsi"/>
        </w:rPr>
      </w:pPr>
      <w:r w:rsidRPr="00C81216">
        <w:rPr>
          <w:rFonts w:cstheme="minorHAnsi"/>
        </w:rPr>
        <w:t xml:space="preserve">18.3 </w:t>
      </w:r>
      <w:r w:rsidRPr="00C81216">
        <w:rPr>
          <w:rFonts w:cstheme="minorHAnsi"/>
        </w:rPr>
        <w:tab/>
        <w:t>If this option is used for Profile Security the Operator shall notify BT in writing as soon as reasonably practicable the Operator’s reasonable estimate of the monies (being monies estimated by the Operator for payment for services to be supplied under this Agreement by the Operator to BT) for the following month, and BT shall pay to the Operator the initial sum within 5 Working Days of notification. For the avoidance of doubt, subsequent estimates and payments shall follow the timescales specified in paragraph 18.1</w:t>
      </w:r>
    </w:p>
    <w:p w14:paraId="7E604F4C" w14:textId="77777777" w:rsidR="005E2536" w:rsidRPr="00C81216" w:rsidRDefault="005E2536" w:rsidP="00C81216">
      <w:pPr>
        <w:jc w:val="both"/>
        <w:rPr>
          <w:rFonts w:cstheme="minorHAnsi"/>
          <w:b/>
          <w:bCs/>
        </w:rPr>
      </w:pPr>
      <w:r w:rsidRPr="00C81216">
        <w:rPr>
          <w:rFonts w:cstheme="minorHAnsi"/>
          <w:b/>
          <w:bCs/>
        </w:rPr>
        <w:t>Operator: Profile Monitoring</w:t>
      </w:r>
    </w:p>
    <w:p w14:paraId="5796B0B4" w14:textId="77777777" w:rsidR="005E2536" w:rsidRPr="00C81216" w:rsidRDefault="005E2536" w:rsidP="007A3A45">
      <w:pPr>
        <w:pStyle w:val="BodyText0"/>
        <w:spacing w:after="180"/>
        <w:ind w:left="720" w:hanging="720"/>
        <w:rPr>
          <w:rFonts w:asciiTheme="minorHAnsi" w:hAnsiTheme="minorHAnsi" w:cstheme="minorHAnsi"/>
          <w:sz w:val="22"/>
          <w:szCs w:val="22"/>
        </w:rPr>
      </w:pPr>
      <w:r w:rsidRPr="00C81216">
        <w:rPr>
          <w:rFonts w:asciiTheme="minorHAnsi" w:hAnsiTheme="minorHAnsi" w:cstheme="minorHAnsi"/>
          <w:sz w:val="22"/>
          <w:szCs w:val="22"/>
        </w:rPr>
        <w:t xml:space="preserve">19.1 </w:t>
      </w:r>
      <w:r w:rsidRPr="00C81216">
        <w:rPr>
          <w:rFonts w:asciiTheme="minorHAnsi" w:hAnsiTheme="minorHAnsi" w:cstheme="minorHAnsi"/>
          <w:sz w:val="22"/>
          <w:szCs w:val="22"/>
        </w:rPr>
        <w:tab/>
        <w:t xml:space="preserve">If a Profile Monitoring Limit has been set by the Operator, the actual level of traffic invoiceable by the Operator in a month will be monitored against the Profile Monitoring Limit for that month.  </w:t>
      </w:r>
    </w:p>
    <w:p w14:paraId="4B05D117" w14:textId="77777777" w:rsidR="005E2536" w:rsidRPr="00C81216" w:rsidRDefault="005E2536" w:rsidP="007A3A45">
      <w:pPr>
        <w:pStyle w:val="BodyText0"/>
        <w:spacing w:after="180"/>
        <w:ind w:left="720" w:hanging="720"/>
        <w:rPr>
          <w:rFonts w:asciiTheme="minorHAnsi" w:hAnsiTheme="minorHAnsi" w:cstheme="minorHAnsi"/>
          <w:sz w:val="22"/>
          <w:szCs w:val="22"/>
        </w:rPr>
      </w:pPr>
      <w:r w:rsidRPr="00C81216">
        <w:rPr>
          <w:rFonts w:asciiTheme="minorHAnsi" w:hAnsiTheme="minorHAnsi" w:cstheme="minorHAnsi"/>
          <w:sz w:val="22"/>
          <w:szCs w:val="22"/>
        </w:rPr>
        <w:t xml:space="preserve">19.2 </w:t>
      </w:r>
      <w:r w:rsidRPr="00C81216">
        <w:rPr>
          <w:rFonts w:asciiTheme="minorHAnsi" w:hAnsiTheme="minorHAnsi" w:cstheme="minorHAnsi"/>
          <w:sz w:val="22"/>
          <w:szCs w:val="22"/>
        </w:rPr>
        <w:tab/>
        <w:t>If a Profile Monitoring Limit is exceeded (or if the Operator reasonably considers that it is likely to be exceeded) in any month, the Operator may require Profile Security from BT.</w:t>
      </w:r>
    </w:p>
    <w:p w14:paraId="3933482E" w14:textId="77777777" w:rsidR="005E2536" w:rsidRPr="00C81216" w:rsidRDefault="005E2536" w:rsidP="005B4A77">
      <w:pPr>
        <w:pStyle w:val="BodyText20"/>
        <w:spacing w:line="240" w:lineRule="auto"/>
        <w:jc w:val="both"/>
        <w:rPr>
          <w:rFonts w:cstheme="minorHAnsi"/>
        </w:rPr>
      </w:pPr>
      <w:r w:rsidRPr="00C81216">
        <w:rPr>
          <w:rFonts w:cstheme="minorHAnsi"/>
        </w:rPr>
        <w:t xml:space="preserve">19.3 </w:t>
      </w:r>
      <w:r w:rsidRPr="00C81216">
        <w:rPr>
          <w:rFonts w:cstheme="minorHAnsi"/>
        </w:rPr>
        <w:tab/>
        <w:t>In respect of Profile Security required by the Operator, the Operator shall be entitled to refuse or suspend orders, or restrict traffic which would cause business in excess of the Profile Monitoring Limit until appropriate Profile Security has been supplied to the Operator’s reasonable satisfaction.</w:t>
      </w:r>
    </w:p>
    <w:p w14:paraId="7F64EAF8" w14:textId="77777777" w:rsidR="005E2536" w:rsidRPr="00C81216" w:rsidRDefault="005E2536" w:rsidP="005B4A77">
      <w:pPr>
        <w:pStyle w:val="BodyText20"/>
        <w:spacing w:line="240" w:lineRule="auto"/>
        <w:jc w:val="both"/>
        <w:rPr>
          <w:rFonts w:cstheme="minorHAnsi"/>
        </w:rPr>
      </w:pPr>
    </w:p>
    <w:p w14:paraId="5D971943" w14:textId="6C3CA57B" w:rsidR="005E2536" w:rsidRDefault="005E2536" w:rsidP="008D531C">
      <w:pPr>
        <w:pStyle w:val="BodyText20"/>
        <w:spacing w:after="0" w:line="240" w:lineRule="auto"/>
        <w:jc w:val="both"/>
        <w:rPr>
          <w:rFonts w:cstheme="minorHAnsi"/>
          <w:b/>
          <w:bCs/>
        </w:rPr>
      </w:pPr>
      <w:r w:rsidRPr="00C81216">
        <w:rPr>
          <w:rFonts w:cstheme="minorHAnsi"/>
          <w:b/>
          <w:bCs/>
        </w:rPr>
        <w:t>Operator: Application/Restoration of Security or Profile Security</w:t>
      </w:r>
    </w:p>
    <w:p w14:paraId="299324BC" w14:textId="77777777" w:rsidR="008D531C" w:rsidRDefault="008D531C" w:rsidP="008D531C">
      <w:pPr>
        <w:pStyle w:val="BodyText20"/>
        <w:spacing w:after="0" w:line="240" w:lineRule="auto"/>
        <w:jc w:val="both"/>
        <w:rPr>
          <w:rFonts w:cstheme="minorHAnsi"/>
          <w:b/>
          <w:bCs/>
        </w:rPr>
      </w:pPr>
    </w:p>
    <w:p w14:paraId="0C144031" w14:textId="77777777" w:rsidR="005E2536" w:rsidRPr="00C81216" w:rsidRDefault="005E2536" w:rsidP="008D531C">
      <w:pPr>
        <w:pStyle w:val="BodyText20"/>
        <w:spacing w:after="0" w:line="240" w:lineRule="auto"/>
        <w:jc w:val="both"/>
        <w:rPr>
          <w:rFonts w:cstheme="minorHAnsi"/>
        </w:rPr>
      </w:pPr>
      <w:r w:rsidRPr="00C81216">
        <w:rPr>
          <w:rFonts w:cstheme="minorHAnsi"/>
        </w:rPr>
        <w:t xml:space="preserve">20. </w:t>
      </w:r>
      <w:r w:rsidRPr="00C81216">
        <w:rPr>
          <w:rFonts w:cstheme="minorHAnsi"/>
        </w:rPr>
        <w:tab/>
        <w:t>If BT fails to pay under this Agreement any overdue amounts that are not in dispute six calendar days after the Due Date, the Operator shall be entitled to apply any security or Profile Security held by the Operator under this Agreement against such non-payment, and BT shall supply security to restore the value of such security or Profile Security holding by the Operator within five Working Days of written notice from the Operator to do so.</w:t>
      </w:r>
    </w:p>
    <w:p w14:paraId="7FEF4F78" w14:textId="77777777" w:rsidR="005E2536" w:rsidRPr="00C81216" w:rsidRDefault="005E2536" w:rsidP="005B4A77">
      <w:pPr>
        <w:pStyle w:val="BodyText20"/>
        <w:spacing w:line="240" w:lineRule="auto"/>
        <w:jc w:val="both"/>
        <w:rPr>
          <w:rFonts w:cstheme="minorHAnsi"/>
        </w:rPr>
      </w:pPr>
    </w:p>
    <w:p w14:paraId="1AC8AD3A" w14:textId="77EBF4EB" w:rsidR="005E2536" w:rsidRPr="00C81216" w:rsidRDefault="005E2536" w:rsidP="005B4A77">
      <w:pPr>
        <w:pStyle w:val="BodyText20"/>
        <w:spacing w:line="240" w:lineRule="auto"/>
        <w:jc w:val="both"/>
        <w:rPr>
          <w:rFonts w:cstheme="minorHAnsi"/>
        </w:rPr>
      </w:pPr>
      <w:r w:rsidRPr="00C81216">
        <w:rPr>
          <w:rFonts w:cstheme="minorHAnsi"/>
        </w:rPr>
        <w:t xml:space="preserve">21. </w:t>
      </w:r>
      <w:r w:rsidRPr="00C81216">
        <w:rPr>
          <w:rFonts w:cstheme="minorHAnsi"/>
        </w:rPr>
        <w:tab/>
        <w:t xml:space="preserve">If the BT fails to so restore the value of the security and </w:t>
      </w:r>
      <w:r w:rsidR="00613093">
        <w:rPr>
          <w:rFonts w:cstheme="minorHAnsi"/>
        </w:rPr>
        <w:t>P</w:t>
      </w:r>
      <w:r w:rsidRPr="00C81216">
        <w:rPr>
          <w:rFonts w:cstheme="minorHAnsi"/>
        </w:rPr>
        <w:t xml:space="preserve">rofile </w:t>
      </w:r>
      <w:r w:rsidR="00613093">
        <w:rPr>
          <w:rFonts w:cstheme="minorHAnsi"/>
        </w:rPr>
        <w:t>S</w:t>
      </w:r>
      <w:r w:rsidR="00613093" w:rsidRPr="00C81216">
        <w:rPr>
          <w:rFonts w:cstheme="minorHAnsi"/>
        </w:rPr>
        <w:t>ecurity</w:t>
      </w:r>
      <w:r w:rsidRPr="00C81216">
        <w:rPr>
          <w:rFonts w:cstheme="minorHAnsi"/>
        </w:rPr>
        <w:t>, the Operator shall be entitled to apply the provisions of paragraph 17.2 or 19.3 as if such paragraphs apply in respect of the value of the security or the Profile Security under paragraphs 20 and 21.</w:t>
      </w:r>
    </w:p>
    <w:p w14:paraId="60E57715" w14:textId="77777777" w:rsidR="005E2536" w:rsidRPr="00C81216" w:rsidRDefault="005E2536">
      <w:pPr>
        <w:pStyle w:val="BodyText0"/>
        <w:rPr>
          <w:rFonts w:asciiTheme="minorHAnsi" w:hAnsiTheme="minorHAnsi" w:cstheme="minorHAnsi"/>
          <w:b/>
          <w:bCs/>
          <w:sz w:val="22"/>
          <w:szCs w:val="22"/>
        </w:rPr>
      </w:pPr>
      <w:r w:rsidRPr="00C81216">
        <w:rPr>
          <w:rFonts w:asciiTheme="minorHAnsi" w:hAnsiTheme="minorHAnsi" w:cstheme="minorHAnsi"/>
          <w:b/>
          <w:bCs/>
          <w:sz w:val="22"/>
          <w:szCs w:val="22"/>
        </w:rPr>
        <w:lastRenderedPageBreak/>
        <w:t>Appeals Process</w:t>
      </w:r>
    </w:p>
    <w:p w14:paraId="5E16451B" w14:textId="77777777" w:rsidR="005E2536" w:rsidRPr="00C81216" w:rsidRDefault="005E2536">
      <w:pPr>
        <w:pStyle w:val="BodyText0"/>
        <w:rPr>
          <w:rFonts w:asciiTheme="minorHAnsi" w:hAnsiTheme="minorHAnsi" w:cstheme="minorHAnsi"/>
          <w:b/>
          <w:bCs/>
          <w:sz w:val="22"/>
          <w:szCs w:val="22"/>
        </w:rPr>
      </w:pPr>
    </w:p>
    <w:p w14:paraId="17660CE7" w14:textId="1D07B1D6" w:rsidR="005E2536" w:rsidRPr="00C81216" w:rsidRDefault="005E2536">
      <w:pPr>
        <w:pStyle w:val="BodyText0"/>
        <w:ind w:left="720" w:hanging="720"/>
        <w:rPr>
          <w:rFonts w:asciiTheme="minorHAnsi" w:hAnsiTheme="minorHAnsi" w:cstheme="minorHAnsi"/>
          <w:sz w:val="22"/>
          <w:szCs w:val="22"/>
        </w:rPr>
      </w:pPr>
      <w:r w:rsidRPr="00C81216">
        <w:rPr>
          <w:rFonts w:asciiTheme="minorHAnsi" w:hAnsiTheme="minorHAnsi" w:cstheme="minorHAnsi"/>
          <w:sz w:val="22"/>
          <w:szCs w:val="22"/>
        </w:rPr>
        <w:t xml:space="preserve">22. </w:t>
      </w:r>
      <w:r w:rsidRPr="00C81216">
        <w:rPr>
          <w:rFonts w:asciiTheme="minorHAnsi" w:hAnsiTheme="minorHAnsi" w:cstheme="minorHAnsi"/>
          <w:sz w:val="22"/>
          <w:szCs w:val="22"/>
        </w:rPr>
        <w:tab/>
        <w:t>If a Party disputes a Security Notice, a Payment Period Notice, a Credit Vet, whether a Credit Vet is Adverse, a Credit Limit or the amount or type of the related security, a Profile Monitoring Limit or the amount of the Profile Security, such Party shall notify the other Party of an appeal in writing, the other Party shall acknowledge receipt of such appeal, and shall respond to such appeal in accordance with the procedures and time periods set out in the BT SIA</w:t>
      </w:r>
      <w:r w:rsidR="00D64150">
        <w:rPr>
          <w:rFonts w:asciiTheme="minorHAnsi" w:hAnsiTheme="minorHAnsi" w:cstheme="minorHAnsi"/>
          <w:sz w:val="22"/>
          <w:szCs w:val="22"/>
        </w:rPr>
        <w:t>/SIPIA</w:t>
      </w:r>
      <w:r w:rsidRPr="00C81216">
        <w:rPr>
          <w:rFonts w:asciiTheme="minorHAnsi" w:hAnsiTheme="minorHAnsi" w:cstheme="minorHAnsi"/>
          <w:sz w:val="22"/>
          <w:szCs w:val="22"/>
        </w:rPr>
        <w:t xml:space="preserve"> Credit Policy.</w:t>
      </w:r>
    </w:p>
    <w:p w14:paraId="4109C991" w14:textId="77777777" w:rsidR="005E2536" w:rsidRPr="00C81216" w:rsidRDefault="005E2536">
      <w:pPr>
        <w:pStyle w:val="BodyText0"/>
        <w:rPr>
          <w:rFonts w:asciiTheme="minorHAnsi" w:hAnsiTheme="minorHAnsi" w:cstheme="minorHAnsi"/>
          <w:sz w:val="22"/>
          <w:szCs w:val="22"/>
        </w:rPr>
      </w:pPr>
    </w:p>
    <w:p w14:paraId="2F869CBD" w14:textId="77777777" w:rsidR="005E2536" w:rsidRPr="00C81216" w:rsidRDefault="005E2536">
      <w:pPr>
        <w:pStyle w:val="BodyText0"/>
        <w:ind w:left="720" w:hanging="720"/>
        <w:rPr>
          <w:rFonts w:asciiTheme="minorHAnsi" w:hAnsiTheme="minorHAnsi" w:cstheme="minorHAnsi"/>
          <w:sz w:val="22"/>
          <w:szCs w:val="22"/>
        </w:rPr>
      </w:pPr>
      <w:r w:rsidRPr="00C81216">
        <w:rPr>
          <w:rFonts w:asciiTheme="minorHAnsi" w:hAnsiTheme="minorHAnsi" w:cstheme="minorHAnsi"/>
          <w:sz w:val="22"/>
          <w:szCs w:val="22"/>
        </w:rPr>
        <w:t xml:space="preserve">23. </w:t>
      </w:r>
      <w:r w:rsidRPr="00C81216">
        <w:rPr>
          <w:rFonts w:asciiTheme="minorHAnsi" w:hAnsiTheme="minorHAnsi" w:cstheme="minorHAnsi"/>
          <w:sz w:val="22"/>
          <w:szCs w:val="22"/>
        </w:rPr>
        <w:tab/>
        <w:t>If BT and the Operator are unable to agree a dispute as a result of such appeal, either Party may invoke the provisions of paragraph 24.</w:t>
      </w:r>
    </w:p>
    <w:p w14:paraId="5A37C910" w14:textId="77777777" w:rsidR="005E2536" w:rsidRPr="00C81216" w:rsidRDefault="005E2536">
      <w:pPr>
        <w:pStyle w:val="BodyText0"/>
        <w:rPr>
          <w:rFonts w:asciiTheme="minorHAnsi" w:hAnsiTheme="minorHAnsi" w:cstheme="minorHAnsi"/>
          <w:sz w:val="22"/>
          <w:szCs w:val="22"/>
        </w:rPr>
      </w:pPr>
    </w:p>
    <w:p w14:paraId="292952D1" w14:textId="77777777" w:rsidR="005E2536" w:rsidRPr="00C81216" w:rsidRDefault="005E2536">
      <w:pPr>
        <w:pStyle w:val="BodyText0"/>
        <w:rPr>
          <w:rFonts w:asciiTheme="minorHAnsi" w:hAnsiTheme="minorHAnsi" w:cstheme="minorHAnsi"/>
          <w:b/>
          <w:bCs/>
          <w:sz w:val="22"/>
          <w:szCs w:val="22"/>
        </w:rPr>
      </w:pPr>
      <w:r w:rsidRPr="00C81216">
        <w:rPr>
          <w:rFonts w:asciiTheme="minorHAnsi" w:hAnsiTheme="minorHAnsi" w:cstheme="minorHAnsi"/>
          <w:b/>
          <w:bCs/>
          <w:sz w:val="22"/>
          <w:szCs w:val="22"/>
        </w:rPr>
        <w:t>External Disputes Process</w:t>
      </w:r>
    </w:p>
    <w:p w14:paraId="315AD3E6" w14:textId="77777777" w:rsidR="005E2536" w:rsidRPr="00C81216" w:rsidRDefault="005E2536">
      <w:pPr>
        <w:pStyle w:val="BodyText0"/>
        <w:rPr>
          <w:rFonts w:asciiTheme="minorHAnsi" w:hAnsiTheme="minorHAnsi" w:cstheme="minorHAnsi"/>
          <w:sz w:val="22"/>
          <w:szCs w:val="22"/>
        </w:rPr>
      </w:pPr>
    </w:p>
    <w:p w14:paraId="047FEC56" w14:textId="77777777" w:rsidR="005E2536" w:rsidRPr="00C81216" w:rsidRDefault="005E2536">
      <w:pPr>
        <w:pStyle w:val="BodyText0"/>
        <w:rPr>
          <w:rFonts w:asciiTheme="minorHAnsi" w:hAnsiTheme="minorHAnsi" w:cstheme="minorHAnsi"/>
          <w:sz w:val="22"/>
          <w:szCs w:val="22"/>
        </w:rPr>
      </w:pPr>
      <w:r w:rsidRPr="00C81216">
        <w:rPr>
          <w:rFonts w:asciiTheme="minorHAnsi" w:hAnsiTheme="minorHAnsi" w:cstheme="minorHAnsi"/>
          <w:sz w:val="22"/>
          <w:szCs w:val="22"/>
        </w:rPr>
        <w:t xml:space="preserve">24. </w:t>
      </w:r>
      <w:r w:rsidRPr="00C81216">
        <w:rPr>
          <w:rFonts w:asciiTheme="minorHAnsi" w:hAnsiTheme="minorHAnsi" w:cstheme="minorHAnsi"/>
          <w:sz w:val="22"/>
          <w:szCs w:val="22"/>
        </w:rPr>
        <w:tab/>
        <w:t>Further to paragraph 23 for any unresolved dispute either Party:</w:t>
      </w:r>
    </w:p>
    <w:p w14:paraId="3A9A412F" w14:textId="77777777" w:rsidR="005E2536" w:rsidRPr="00C81216" w:rsidRDefault="005E2536">
      <w:pPr>
        <w:pStyle w:val="BodyText0"/>
        <w:rPr>
          <w:rFonts w:asciiTheme="minorHAnsi" w:hAnsiTheme="minorHAnsi" w:cstheme="minorHAnsi"/>
          <w:sz w:val="22"/>
          <w:szCs w:val="22"/>
        </w:rPr>
      </w:pPr>
    </w:p>
    <w:p w14:paraId="4AC38CC7" w14:textId="77777777" w:rsidR="005E2536" w:rsidRPr="00C81216" w:rsidRDefault="005E2536">
      <w:pPr>
        <w:pStyle w:val="BodyText0"/>
        <w:ind w:left="720" w:hanging="720"/>
        <w:rPr>
          <w:rFonts w:asciiTheme="minorHAnsi" w:hAnsiTheme="minorHAnsi" w:cstheme="minorHAnsi"/>
          <w:sz w:val="22"/>
          <w:szCs w:val="22"/>
        </w:rPr>
      </w:pPr>
      <w:r w:rsidRPr="00C81216">
        <w:rPr>
          <w:rFonts w:asciiTheme="minorHAnsi" w:hAnsiTheme="minorHAnsi" w:cstheme="minorHAnsi"/>
          <w:sz w:val="22"/>
          <w:szCs w:val="22"/>
        </w:rPr>
        <w:t xml:space="preserve">24.1 </w:t>
      </w:r>
      <w:r w:rsidRPr="00C81216">
        <w:rPr>
          <w:rFonts w:asciiTheme="minorHAnsi" w:hAnsiTheme="minorHAnsi" w:cstheme="minorHAnsi"/>
          <w:sz w:val="22"/>
          <w:szCs w:val="22"/>
        </w:rPr>
        <w:tab/>
        <w:t>may request in writing the other Party to agree to participate in the mediation procedure, and/or</w:t>
      </w:r>
    </w:p>
    <w:p w14:paraId="4AFC8CED" w14:textId="77777777" w:rsidR="005E2536" w:rsidRPr="00C81216" w:rsidRDefault="005E2536">
      <w:pPr>
        <w:pStyle w:val="BodyText0"/>
        <w:rPr>
          <w:rFonts w:asciiTheme="minorHAnsi" w:hAnsiTheme="minorHAnsi" w:cstheme="minorHAnsi"/>
          <w:sz w:val="22"/>
          <w:szCs w:val="22"/>
        </w:rPr>
      </w:pPr>
    </w:p>
    <w:p w14:paraId="55B749BF" w14:textId="77777777" w:rsidR="005E2536" w:rsidRPr="00C81216" w:rsidRDefault="005E2536">
      <w:pPr>
        <w:pStyle w:val="BodyText0"/>
        <w:rPr>
          <w:rFonts w:asciiTheme="minorHAnsi" w:hAnsiTheme="minorHAnsi" w:cstheme="minorHAnsi"/>
          <w:sz w:val="22"/>
          <w:szCs w:val="22"/>
        </w:rPr>
      </w:pPr>
      <w:r w:rsidRPr="00C81216">
        <w:rPr>
          <w:rFonts w:asciiTheme="minorHAnsi" w:hAnsiTheme="minorHAnsi" w:cstheme="minorHAnsi"/>
          <w:sz w:val="22"/>
          <w:szCs w:val="22"/>
        </w:rPr>
        <w:t xml:space="preserve">24.2 </w:t>
      </w:r>
      <w:r w:rsidRPr="00C81216">
        <w:rPr>
          <w:rFonts w:asciiTheme="minorHAnsi" w:hAnsiTheme="minorHAnsi" w:cstheme="minorHAnsi"/>
          <w:sz w:val="22"/>
          <w:szCs w:val="22"/>
        </w:rPr>
        <w:tab/>
        <w:t>may require in writing the other Party to participate in the adjudication procedure</w:t>
      </w:r>
    </w:p>
    <w:p w14:paraId="73950292" w14:textId="77777777" w:rsidR="005E2536" w:rsidRPr="00C81216" w:rsidRDefault="005E2536">
      <w:pPr>
        <w:pStyle w:val="BodyText0"/>
        <w:rPr>
          <w:rFonts w:asciiTheme="minorHAnsi" w:hAnsiTheme="minorHAnsi" w:cstheme="minorHAnsi"/>
          <w:sz w:val="22"/>
          <w:szCs w:val="22"/>
        </w:rPr>
      </w:pPr>
    </w:p>
    <w:p w14:paraId="3690813E" w14:textId="611582F9" w:rsidR="005E2536" w:rsidRPr="00C81216" w:rsidRDefault="005E2536">
      <w:pPr>
        <w:pStyle w:val="BodyText0"/>
        <w:ind w:left="720"/>
        <w:rPr>
          <w:rFonts w:asciiTheme="minorHAnsi" w:hAnsiTheme="minorHAnsi" w:cstheme="minorHAnsi"/>
          <w:sz w:val="22"/>
          <w:szCs w:val="22"/>
        </w:rPr>
      </w:pPr>
      <w:r w:rsidRPr="00C81216">
        <w:rPr>
          <w:rFonts w:asciiTheme="minorHAnsi" w:hAnsiTheme="minorHAnsi" w:cstheme="minorHAnsi"/>
          <w:sz w:val="22"/>
          <w:szCs w:val="22"/>
        </w:rPr>
        <w:t>of The Chartered Institute of Arbitrators under the BT SIA</w:t>
      </w:r>
      <w:r w:rsidR="00247E4C">
        <w:rPr>
          <w:rFonts w:asciiTheme="minorHAnsi" w:hAnsiTheme="minorHAnsi" w:cstheme="minorHAnsi"/>
          <w:sz w:val="22"/>
          <w:szCs w:val="22"/>
        </w:rPr>
        <w:t>/SIPIA</w:t>
      </w:r>
      <w:r w:rsidRPr="00C81216">
        <w:rPr>
          <w:rFonts w:asciiTheme="minorHAnsi" w:hAnsiTheme="minorHAnsi" w:cstheme="minorHAnsi"/>
          <w:sz w:val="22"/>
          <w:szCs w:val="22"/>
        </w:rPr>
        <w:t xml:space="preserve"> Credit Mediation/Adjudication Procedures which apply from time to time.</w:t>
      </w:r>
    </w:p>
    <w:p w14:paraId="60BAF812" w14:textId="77777777" w:rsidR="005E2536" w:rsidRPr="00C81216" w:rsidRDefault="005E2536">
      <w:pPr>
        <w:jc w:val="both"/>
        <w:rPr>
          <w:rFonts w:cstheme="minorHAnsi"/>
        </w:rPr>
      </w:pPr>
    </w:p>
    <w:sectPr w:rsidR="005E2536" w:rsidRPr="00C8121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8F245" w14:textId="77777777" w:rsidR="00840E00" w:rsidRDefault="00840E00" w:rsidP="006056A0">
      <w:pPr>
        <w:spacing w:after="0" w:line="240" w:lineRule="auto"/>
      </w:pPr>
      <w:r>
        <w:separator/>
      </w:r>
    </w:p>
  </w:endnote>
  <w:endnote w:type="continuationSeparator" w:id="0">
    <w:p w14:paraId="7008FC92" w14:textId="77777777" w:rsidR="00840E00" w:rsidRDefault="00840E00" w:rsidP="006056A0">
      <w:pPr>
        <w:spacing w:after="0" w:line="240" w:lineRule="auto"/>
      </w:pPr>
      <w:r>
        <w:continuationSeparator/>
      </w:r>
    </w:p>
  </w:endnote>
  <w:endnote w:type="continuationNotice" w:id="1">
    <w:p w14:paraId="3E95940D" w14:textId="77777777" w:rsidR="00840E00" w:rsidRDefault="00840E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D4CE" w14:textId="0CDDF537" w:rsidR="004837E1" w:rsidRDefault="005139C2" w:rsidP="004837E1">
    <w:pPr>
      <w:pStyle w:val="Footer"/>
      <w:pBdr>
        <w:top w:val="single" w:sz="4" w:space="1" w:color="D9D9D9" w:themeColor="background1" w:themeShade="D9"/>
      </w:pBdr>
      <w:tabs>
        <w:tab w:val="left" w:pos="724"/>
        <w:tab w:val="right" w:pos="9593"/>
        <w:tab w:val="right" w:pos="13937"/>
      </w:tabs>
      <w:rPr>
        <w:rStyle w:val="PageNumber"/>
        <w:rFonts w:ascii="Arial" w:hAnsi="Arial" w:cs="Arial"/>
        <w:sz w:val="16"/>
        <w:szCs w:val="16"/>
      </w:rPr>
    </w:pPr>
    <w:r w:rsidRPr="00CF567B">
      <w:t xml:space="preserve"> </w:t>
    </w:r>
    <w:r w:rsidR="004837E1">
      <w:rPr>
        <w:rStyle w:val="PageNumber"/>
        <w:rFonts w:ascii="Arial" w:hAnsi="Arial" w:cs="Arial"/>
        <w:sz w:val="16"/>
        <w:szCs w:val="16"/>
      </w:rPr>
      <w:t>STANDARD IP INTERCONNECT AGREEMENT</w:t>
    </w:r>
    <w:r w:rsidR="004837E1">
      <w:rPr>
        <w:rStyle w:val="PageNumber"/>
        <w:rFonts w:ascii="Arial" w:hAnsi="Arial" w:cs="Arial"/>
        <w:sz w:val="16"/>
        <w:szCs w:val="16"/>
      </w:rPr>
      <w:tab/>
      <w:t xml:space="preserve">Issue </w:t>
    </w:r>
    <w:r w:rsidR="00C225BF">
      <w:rPr>
        <w:rStyle w:val="PageNumber"/>
        <w:rFonts w:ascii="Arial" w:hAnsi="Arial" w:cs="Arial"/>
        <w:sz w:val="16"/>
        <w:szCs w:val="16"/>
      </w:rPr>
      <w:t>1.</w:t>
    </w:r>
    <w:r w:rsidR="00437C02">
      <w:rPr>
        <w:rStyle w:val="PageNumber"/>
        <w:rFonts w:ascii="Arial" w:hAnsi="Arial" w:cs="Arial"/>
        <w:sz w:val="16"/>
        <w:szCs w:val="16"/>
      </w:rPr>
      <w:t xml:space="preserve">1 </w:t>
    </w:r>
  </w:p>
  <w:p w14:paraId="2428A401" w14:textId="610053D0" w:rsidR="005139C2" w:rsidRPr="004837E1" w:rsidRDefault="004837E1" w:rsidP="004837E1">
    <w:pPr>
      <w:pStyle w:val="Footer"/>
      <w:tabs>
        <w:tab w:val="right" w:pos="9593"/>
        <w:tab w:val="right" w:pos="13937"/>
      </w:tabs>
      <w:rPr>
        <w:rFonts w:ascii="Arial" w:hAnsi="Arial" w:cs="Arial"/>
        <w:sz w:val="16"/>
        <w:szCs w:val="16"/>
        <w:lang w:eastAsia="x-none"/>
      </w:rPr>
    </w:pPr>
    <w:r>
      <w:rPr>
        <w:rStyle w:val="PageNumber"/>
        <w:rFonts w:ascii="Arial" w:hAnsi="Arial" w:cs="Arial"/>
        <w:i/>
        <w:sz w:val="16"/>
        <w:szCs w:val="16"/>
      </w:rPr>
      <w:t>© British Telecommunications PLC</w:t>
    </w:r>
    <w:r>
      <w:rPr>
        <w:rStyle w:val="PageNumber"/>
        <w:rFonts w:ascii="Arial" w:hAnsi="Arial" w:cs="Arial"/>
        <w:sz w:val="16"/>
        <w:szCs w:val="16"/>
      </w:rPr>
      <w:tab/>
    </w:r>
    <w:sdt>
      <w:sdtPr>
        <w:rPr>
          <w:rStyle w:val="PageNumber"/>
          <w:rFonts w:ascii="Arial" w:hAnsi="Arial" w:cs="Arial"/>
          <w:sz w:val="16"/>
          <w:szCs w:val="16"/>
        </w:rPr>
        <w:id w:val="466714292"/>
        <w:docPartObj>
          <w:docPartGallery w:val="Page Numbers (Bottom of Page)"/>
          <w:docPartUnique/>
        </w:docPartObj>
      </w:sdtPr>
      <w:sdtEndPr>
        <w:rPr>
          <w:rStyle w:val="PageNumber"/>
        </w:rPr>
      </w:sdtEndPr>
      <w:sdtContent>
        <w:sdt>
          <w:sdtPr>
            <w:rPr>
              <w:rStyle w:val="PageNumber"/>
              <w:rFonts w:ascii="Arial" w:hAnsi="Arial" w:cs="Arial"/>
              <w:sz w:val="16"/>
              <w:szCs w:val="16"/>
            </w:rPr>
            <w:id w:val="-1769616900"/>
            <w:docPartObj>
              <w:docPartGallery w:val="Page Numbers (Top of Page)"/>
              <w:docPartUnique/>
            </w:docPartObj>
          </w:sdtPr>
          <w:sdtEndPr>
            <w:rPr>
              <w:rStyle w:val="PageNumber"/>
            </w:rPr>
          </w:sdtEndPr>
          <w:sdtContent>
            <w:r w:rsidRPr="00F00C00">
              <w:rPr>
                <w:rStyle w:val="PageNumber"/>
                <w:rFonts w:ascii="Arial" w:hAnsi="Arial" w:cs="Arial"/>
                <w:sz w:val="16"/>
                <w:szCs w:val="16"/>
              </w:rPr>
              <w:t xml:space="preserve">Page </w:t>
            </w:r>
            <w:r w:rsidRPr="00F00C00">
              <w:rPr>
                <w:rStyle w:val="PageNumber"/>
                <w:rFonts w:ascii="Arial" w:hAnsi="Arial" w:cs="Arial"/>
                <w:sz w:val="16"/>
                <w:szCs w:val="16"/>
              </w:rPr>
              <w:fldChar w:fldCharType="begin"/>
            </w:r>
            <w:r w:rsidRPr="00F00C00">
              <w:rPr>
                <w:rStyle w:val="PageNumber"/>
                <w:rFonts w:ascii="Arial" w:hAnsi="Arial" w:cs="Arial"/>
                <w:sz w:val="16"/>
                <w:szCs w:val="16"/>
              </w:rPr>
              <w:instrText xml:space="preserve"> PAGE </w:instrText>
            </w:r>
            <w:r w:rsidRPr="00F00C00">
              <w:rPr>
                <w:rStyle w:val="PageNumber"/>
                <w:rFonts w:ascii="Arial" w:hAnsi="Arial" w:cs="Arial"/>
                <w:sz w:val="16"/>
                <w:szCs w:val="16"/>
              </w:rPr>
              <w:fldChar w:fldCharType="separate"/>
            </w:r>
            <w:r>
              <w:rPr>
                <w:rStyle w:val="PageNumber"/>
                <w:rFonts w:ascii="Arial" w:hAnsi="Arial" w:cs="Arial"/>
                <w:sz w:val="16"/>
                <w:szCs w:val="16"/>
              </w:rPr>
              <w:t>1</w:t>
            </w:r>
            <w:r w:rsidRPr="00F00C00">
              <w:rPr>
                <w:rStyle w:val="PageNumber"/>
                <w:rFonts w:ascii="Arial" w:hAnsi="Arial" w:cs="Arial"/>
                <w:sz w:val="16"/>
                <w:szCs w:val="16"/>
              </w:rPr>
              <w:fldChar w:fldCharType="end"/>
            </w:r>
            <w:r w:rsidRPr="00F00C00">
              <w:rPr>
                <w:rStyle w:val="PageNumber"/>
                <w:rFonts w:ascii="Arial" w:hAnsi="Arial" w:cs="Arial"/>
                <w:sz w:val="16"/>
                <w:szCs w:val="16"/>
              </w:rPr>
              <w:t xml:space="preserve"> of </w:t>
            </w:r>
            <w:r w:rsidRPr="00F00C00">
              <w:rPr>
                <w:rStyle w:val="PageNumber"/>
                <w:rFonts w:ascii="Arial" w:hAnsi="Arial" w:cs="Arial"/>
                <w:sz w:val="16"/>
                <w:szCs w:val="16"/>
              </w:rPr>
              <w:fldChar w:fldCharType="begin"/>
            </w:r>
            <w:r w:rsidRPr="00F00C00">
              <w:rPr>
                <w:rStyle w:val="PageNumber"/>
                <w:rFonts w:ascii="Arial" w:hAnsi="Arial" w:cs="Arial"/>
                <w:sz w:val="16"/>
                <w:szCs w:val="16"/>
              </w:rPr>
              <w:instrText xml:space="preserve"> NUMPAGES  </w:instrText>
            </w:r>
            <w:r w:rsidRPr="00F00C00">
              <w:rPr>
                <w:rStyle w:val="PageNumber"/>
                <w:rFonts w:ascii="Arial" w:hAnsi="Arial" w:cs="Arial"/>
                <w:sz w:val="16"/>
                <w:szCs w:val="16"/>
              </w:rPr>
              <w:fldChar w:fldCharType="separate"/>
            </w:r>
            <w:r>
              <w:rPr>
                <w:rStyle w:val="PageNumber"/>
                <w:rFonts w:ascii="Arial" w:hAnsi="Arial" w:cs="Arial"/>
                <w:sz w:val="16"/>
                <w:szCs w:val="16"/>
              </w:rPr>
              <w:t>26</w:t>
            </w:r>
            <w:r w:rsidRPr="00F00C00">
              <w:rPr>
                <w:rStyle w:val="PageNumber"/>
                <w:rFonts w:ascii="Arial" w:hAnsi="Arial" w:cs="Arial"/>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57C7C" w14:textId="77777777" w:rsidR="00840E00" w:rsidRDefault="00840E00" w:rsidP="006056A0">
      <w:pPr>
        <w:spacing w:after="0" w:line="240" w:lineRule="auto"/>
      </w:pPr>
      <w:r>
        <w:separator/>
      </w:r>
    </w:p>
  </w:footnote>
  <w:footnote w:type="continuationSeparator" w:id="0">
    <w:p w14:paraId="57B4C5BC" w14:textId="77777777" w:rsidR="00840E00" w:rsidRDefault="00840E00" w:rsidP="006056A0">
      <w:pPr>
        <w:spacing w:after="0" w:line="240" w:lineRule="auto"/>
      </w:pPr>
      <w:r>
        <w:continuationSeparator/>
      </w:r>
    </w:p>
  </w:footnote>
  <w:footnote w:type="continuationNotice" w:id="1">
    <w:p w14:paraId="5F9E4FF8" w14:textId="77777777" w:rsidR="00840E00" w:rsidRDefault="00840E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EBE5B" w14:textId="703721BB" w:rsidR="005139C2" w:rsidRPr="009D51B6" w:rsidRDefault="009D51B6" w:rsidP="009D51B6">
    <w:pPr>
      <w:pBdr>
        <w:bottom w:val="single" w:sz="4" w:space="1" w:color="D9D9D9" w:themeColor="background1" w:themeShade="D9"/>
      </w:pBdr>
      <w:spacing w:after="0"/>
      <w:jc w:val="center"/>
      <w:rPr>
        <w:b/>
        <w:bCs/>
        <w:color w:val="7030A0"/>
        <w:sz w:val="24"/>
        <w:szCs w:val="24"/>
      </w:rPr>
    </w:pPr>
    <w:r w:rsidRPr="0032145F">
      <w:rPr>
        <w:noProof/>
        <w:sz w:val="20"/>
        <w:szCs w:val="20"/>
      </w:rPr>
      <w:drawing>
        <wp:anchor distT="0" distB="0" distL="114300" distR="114300" simplePos="0" relativeHeight="251658240" behindDoc="0" locked="0" layoutInCell="1" allowOverlap="1" wp14:anchorId="1192B809" wp14:editId="44AAE98A">
          <wp:simplePos x="0" y="0"/>
          <wp:positionH relativeFrom="column">
            <wp:posOffset>0</wp:posOffset>
          </wp:positionH>
          <wp:positionV relativeFrom="paragraph">
            <wp:posOffset>-175260</wp:posOffset>
          </wp:positionV>
          <wp:extent cx="375943" cy="376420"/>
          <wp:effectExtent l="0" t="0" r="508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75943" cy="376420"/>
                  </a:xfrm>
                  <a:prstGeom prst="rect">
                    <a:avLst/>
                  </a:prstGeom>
                </pic:spPr>
              </pic:pic>
            </a:graphicData>
          </a:graphic>
          <wp14:sizeRelH relativeFrom="page">
            <wp14:pctWidth>0</wp14:pctWidth>
          </wp14:sizeRelH>
          <wp14:sizeRelV relativeFrom="page">
            <wp14:pctHeight>0</wp14:pctHeight>
          </wp14:sizeRelV>
        </wp:anchor>
      </w:drawing>
    </w:r>
    <w:r w:rsidRPr="0032145F">
      <w:rPr>
        <w:b/>
        <w:bCs/>
        <w:color w:val="7030A0"/>
        <w:sz w:val="24"/>
        <w:szCs w:val="24"/>
      </w:rPr>
      <w:t>SUBJECT TO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96E7B"/>
    <w:multiLevelType w:val="hybridMultilevel"/>
    <w:tmpl w:val="5942CB28"/>
    <w:lvl w:ilvl="0" w:tplc="94EC871A">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79C0AB7"/>
    <w:multiLevelType w:val="hybridMultilevel"/>
    <w:tmpl w:val="8BF01518"/>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30F52A3"/>
    <w:multiLevelType w:val="hybridMultilevel"/>
    <w:tmpl w:val="9CA85D2A"/>
    <w:lvl w:ilvl="0" w:tplc="AC942804">
      <w:start w:val="1"/>
      <w:numFmt w:val="lowerRoman"/>
      <w:lvlText w:val="(%1)"/>
      <w:lvlJc w:val="left"/>
      <w:pPr>
        <w:tabs>
          <w:tab w:val="num" w:pos="1440"/>
        </w:tabs>
        <w:ind w:left="1440" w:hanging="720"/>
      </w:pPr>
      <w:rPr>
        <w:rFonts w:cs="Times New Roman" w:hint="default"/>
      </w:rPr>
    </w:lvl>
    <w:lvl w:ilvl="1" w:tplc="71FAF1F2">
      <w:start w:val="1"/>
      <w:numFmt w:val="lowerLetter"/>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14914490"/>
    <w:multiLevelType w:val="hybridMultilevel"/>
    <w:tmpl w:val="0FA8FD18"/>
    <w:lvl w:ilvl="0" w:tplc="A9441962">
      <w:start w:val="1"/>
      <w:numFmt w:val="lowerRoman"/>
      <w:lvlText w:val="%1."/>
      <w:lvlJc w:val="left"/>
      <w:pPr>
        <w:tabs>
          <w:tab w:val="num" w:pos="1800"/>
        </w:tabs>
        <w:ind w:left="1800" w:hanging="720"/>
      </w:pPr>
      <w:rPr>
        <w:rFonts w:cs="Times New Roman" w:hint="default"/>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start w:val="1"/>
      <w:numFmt w:val="decimal"/>
      <w:lvlText w:val="%4."/>
      <w:lvlJc w:val="left"/>
      <w:pPr>
        <w:tabs>
          <w:tab w:val="num" w:pos="3600"/>
        </w:tabs>
        <w:ind w:left="3600" w:hanging="360"/>
      </w:pPr>
      <w:rPr>
        <w:rFonts w:cs="Times New Roman"/>
      </w:rPr>
    </w:lvl>
    <w:lvl w:ilvl="4" w:tplc="08090019">
      <w:start w:val="1"/>
      <w:numFmt w:val="lowerLetter"/>
      <w:lvlText w:val="%5."/>
      <w:lvlJc w:val="left"/>
      <w:pPr>
        <w:tabs>
          <w:tab w:val="num" w:pos="4320"/>
        </w:tabs>
        <w:ind w:left="4320" w:hanging="360"/>
      </w:pPr>
      <w:rPr>
        <w:rFonts w:cs="Times New Roman"/>
      </w:rPr>
    </w:lvl>
    <w:lvl w:ilvl="5" w:tplc="0809001B">
      <w:start w:val="1"/>
      <w:numFmt w:val="lowerRoman"/>
      <w:lvlText w:val="%6."/>
      <w:lvlJc w:val="right"/>
      <w:pPr>
        <w:tabs>
          <w:tab w:val="num" w:pos="5040"/>
        </w:tabs>
        <w:ind w:left="5040" w:hanging="180"/>
      </w:pPr>
      <w:rPr>
        <w:rFonts w:cs="Times New Roman"/>
      </w:rPr>
    </w:lvl>
    <w:lvl w:ilvl="6" w:tplc="0809000F">
      <w:start w:val="1"/>
      <w:numFmt w:val="decimal"/>
      <w:lvlText w:val="%7."/>
      <w:lvlJc w:val="left"/>
      <w:pPr>
        <w:tabs>
          <w:tab w:val="num" w:pos="5760"/>
        </w:tabs>
        <w:ind w:left="5760" w:hanging="360"/>
      </w:pPr>
      <w:rPr>
        <w:rFonts w:cs="Times New Roman"/>
      </w:rPr>
    </w:lvl>
    <w:lvl w:ilvl="7" w:tplc="08090019">
      <w:start w:val="1"/>
      <w:numFmt w:val="lowerLetter"/>
      <w:lvlText w:val="%8."/>
      <w:lvlJc w:val="left"/>
      <w:pPr>
        <w:tabs>
          <w:tab w:val="num" w:pos="6480"/>
        </w:tabs>
        <w:ind w:left="6480" w:hanging="360"/>
      </w:pPr>
      <w:rPr>
        <w:rFonts w:cs="Times New Roman"/>
      </w:rPr>
    </w:lvl>
    <w:lvl w:ilvl="8" w:tplc="0809001B">
      <w:start w:val="1"/>
      <w:numFmt w:val="lowerRoman"/>
      <w:lvlText w:val="%9."/>
      <w:lvlJc w:val="right"/>
      <w:pPr>
        <w:tabs>
          <w:tab w:val="num" w:pos="7200"/>
        </w:tabs>
        <w:ind w:left="7200" w:hanging="180"/>
      </w:pPr>
      <w:rPr>
        <w:rFonts w:cs="Times New Roman"/>
      </w:rPr>
    </w:lvl>
  </w:abstractNum>
  <w:abstractNum w:abstractNumId="4" w15:restartNumberingAfterBreak="0">
    <w:nsid w:val="153E2365"/>
    <w:multiLevelType w:val="hybridMultilevel"/>
    <w:tmpl w:val="180AA14A"/>
    <w:lvl w:ilvl="0" w:tplc="333CECEA">
      <w:start w:val="1"/>
      <w:numFmt w:val="lowerLetter"/>
      <w:lvlText w:val="%1."/>
      <w:lvlJc w:val="left"/>
      <w:pPr>
        <w:ind w:left="720" w:hanging="360"/>
      </w:pPr>
    </w:lvl>
    <w:lvl w:ilvl="1" w:tplc="89A6160A">
      <w:start w:val="1"/>
      <w:numFmt w:val="lowerLetter"/>
      <w:lvlText w:val="%2."/>
      <w:lvlJc w:val="left"/>
      <w:pPr>
        <w:ind w:left="1440" w:hanging="360"/>
      </w:pPr>
    </w:lvl>
    <w:lvl w:ilvl="2" w:tplc="DE3C51B8">
      <w:start w:val="1"/>
      <w:numFmt w:val="lowerRoman"/>
      <w:lvlText w:val="%3."/>
      <w:lvlJc w:val="right"/>
      <w:pPr>
        <w:ind w:left="2160" w:hanging="180"/>
      </w:pPr>
    </w:lvl>
    <w:lvl w:ilvl="3" w:tplc="661CD184">
      <w:start w:val="1"/>
      <w:numFmt w:val="decimal"/>
      <w:lvlText w:val="%4."/>
      <w:lvlJc w:val="left"/>
      <w:pPr>
        <w:ind w:left="2880" w:hanging="360"/>
      </w:pPr>
    </w:lvl>
    <w:lvl w:ilvl="4" w:tplc="61E60A80">
      <w:start w:val="1"/>
      <w:numFmt w:val="lowerLetter"/>
      <w:lvlText w:val="%5."/>
      <w:lvlJc w:val="left"/>
      <w:pPr>
        <w:ind w:left="3600" w:hanging="360"/>
      </w:pPr>
    </w:lvl>
    <w:lvl w:ilvl="5" w:tplc="313C309A">
      <w:start w:val="1"/>
      <w:numFmt w:val="lowerRoman"/>
      <w:lvlText w:val="%6."/>
      <w:lvlJc w:val="right"/>
      <w:pPr>
        <w:ind w:left="4320" w:hanging="180"/>
      </w:pPr>
    </w:lvl>
    <w:lvl w:ilvl="6" w:tplc="0950B3CA">
      <w:start w:val="1"/>
      <w:numFmt w:val="decimal"/>
      <w:lvlText w:val="%7."/>
      <w:lvlJc w:val="left"/>
      <w:pPr>
        <w:ind w:left="5040" w:hanging="360"/>
      </w:pPr>
    </w:lvl>
    <w:lvl w:ilvl="7" w:tplc="E7FAF0CA">
      <w:start w:val="1"/>
      <w:numFmt w:val="lowerLetter"/>
      <w:lvlText w:val="%8."/>
      <w:lvlJc w:val="left"/>
      <w:pPr>
        <w:ind w:left="5760" w:hanging="360"/>
      </w:pPr>
    </w:lvl>
    <w:lvl w:ilvl="8" w:tplc="F50427C6">
      <w:start w:val="1"/>
      <w:numFmt w:val="lowerRoman"/>
      <w:lvlText w:val="%9."/>
      <w:lvlJc w:val="right"/>
      <w:pPr>
        <w:ind w:left="6480" w:hanging="180"/>
      </w:pPr>
    </w:lvl>
  </w:abstractNum>
  <w:abstractNum w:abstractNumId="5" w15:restartNumberingAfterBreak="0">
    <w:nsid w:val="18430A78"/>
    <w:multiLevelType w:val="hybridMultilevel"/>
    <w:tmpl w:val="A558A5A4"/>
    <w:lvl w:ilvl="0" w:tplc="13A87C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AA125F"/>
    <w:multiLevelType w:val="hybridMultilevel"/>
    <w:tmpl w:val="E8AED876"/>
    <w:lvl w:ilvl="0" w:tplc="CF069D24">
      <w:start w:val="1"/>
      <w:numFmt w:val="lowerRoman"/>
      <w:lvlText w:val="(%1)"/>
      <w:lvlJc w:val="left"/>
      <w:pPr>
        <w:ind w:left="2149" w:hanging="72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7" w15:restartNumberingAfterBreak="0">
    <w:nsid w:val="1F4B2C7C"/>
    <w:multiLevelType w:val="hybridMultilevel"/>
    <w:tmpl w:val="B28E8D64"/>
    <w:lvl w:ilvl="0" w:tplc="88022CC0">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D764D5"/>
    <w:multiLevelType w:val="hybridMultilevel"/>
    <w:tmpl w:val="30D60E9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283D5617"/>
    <w:multiLevelType w:val="hybridMultilevel"/>
    <w:tmpl w:val="66F67F7C"/>
    <w:lvl w:ilvl="0" w:tplc="7B82B10A">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D875D34"/>
    <w:multiLevelType w:val="hybridMultilevel"/>
    <w:tmpl w:val="BE7E7F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BD5D25"/>
    <w:multiLevelType w:val="hybridMultilevel"/>
    <w:tmpl w:val="174C284C"/>
    <w:lvl w:ilvl="0" w:tplc="6312384C">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15:restartNumberingAfterBreak="0">
    <w:nsid w:val="2FC70F9D"/>
    <w:multiLevelType w:val="multilevel"/>
    <w:tmpl w:val="723A9A2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0100CF3"/>
    <w:multiLevelType w:val="hybridMultilevel"/>
    <w:tmpl w:val="CF28DE8E"/>
    <w:lvl w:ilvl="0" w:tplc="9E0EE5DA">
      <w:start w:val="1"/>
      <w:numFmt w:val="lowerLetter"/>
      <w:lvlText w:val="(%1)"/>
      <w:lvlJc w:val="left"/>
      <w:pPr>
        <w:ind w:left="1080" w:hanging="360"/>
      </w:pPr>
    </w:lvl>
    <w:lvl w:ilvl="1" w:tplc="727A1FFE">
      <w:start w:val="1"/>
      <w:numFmt w:val="lowerLetter"/>
      <w:lvlText w:val="%2."/>
      <w:lvlJc w:val="left"/>
      <w:pPr>
        <w:ind w:left="1800" w:hanging="360"/>
      </w:pPr>
    </w:lvl>
    <w:lvl w:ilvl="2" w:tplc="C3AC3710">
      <w:start w:val="1"/>
      <w:numFmt w:val="lowerRoman"/>
      <w:lvlText w:val="%3."/>
      <w:lvlJc w:val="right"/>
      <w:pPr>
        <w:ind w:left="2520" w:hanging="180"/>
      </w:pPr>
    </w:lvl>
    <w:lvl w:ilvl="3" w:tplc="C6B478BC">
      <w:start w:val="1"/>
      <w:numFmt w:val="decimal"/>
      <w:lvlText w:val="%4."/>
      <w:lvlJc w:val="left"/>
      <w:pPr>
        <w:ind w:left="3240" w:hanging="360"/>
      </w:pPr>
    </w:lvl>
    <w:lvl w:ilvl="4" w:tplc="48CC12BA">
      <w:start w:val="1"/>
      <w:numFmt w:val="lowerLetter"/>
      <w:lvlText w:val="%5."/>
      <w:lvlJc w:val="left"/>
      <w:pPr>
        <w:ind w:left="3960" w:hanging="360"/>
      </w:pPr>
    </w:lvl>
    <w:lvl w:ilvl="5" w:tplc="CD92FA3A">
      <w:start w:val="1"/>
      <w:numFmt w:val="lowerRoman"/>
      <w:lvlText w:val="%6."/>
      <w:lvlJc w:val="right"/>
      <w:pPr>
        <w:ind w:left="4680" w:hanging="180"/>
      </w:pPr>
    </w:lvl>
    <w:lvl w:ilvl="6" w:tplc="494EBE4A">
      <w:start w:val="1"/>
      <w:numFmt w:val="decimal"/>
      <w:lvlText w:val="%7."/>
      <w:lvlJc w:val="left"/>
      <w:pPr>
        <w:ind w:left="5400" w:hanging="360"/>
      </w:pPr>
    </w:lvl>
    <w:lvl w:ilvl="7" w:tplc="C50E4902">
      <w:start w:val="1"/>
      <w:numFmt w:val="lowerLetter"/>
      <w:lvlText w:val="%8."/>
      <w:lvlJc w:val="left"/>
      <w:pPr>
        <w:ind w:left="6120" w:hanging="360"/>
      </w:pPr>
    </w:lvl>
    <w:lvl w:ilvl="8" w:tplc="5DEA6FC8">
      <w:start w:val="1"/>
      <w:numFmt w:val="lowerRoman"/>
      <w:lvlText w:val="%9."/>
      <w:lvlJc w:val="right"/>
      <w:pPr>
        <w:ind w:left="6840" w:hanging="180"/>
      </w:pPr>
    </w:lvl>
  </w:abstractNum>
  <w:abstractNum w:abstractNumId="14" w15:restartNumberingAfterBreak="0">
    <w:nsid w:val="39EA0A34"/>
    <w:multiLevelType w:val="multilevel"/>
    <w:tmpl w:val="4D80B9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865DA9"/>
    <w:multiLevelType w:val="hybridMultilevel"/>
    <w:tmpl w:val="3AA684B4"/>
    <w:lvl w:ilvl="0" w:tplc="D344555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430F84"/>
    <w:multiLevelType w:val="hybridMultilevel"/>
    <w:tmpl w:val="53B8196C"/>
    <w:lvl w:ilvl="0" w:tplc="F218224E">
      <w:start w:val="2"/>
      <w:numFmt w:val="lowerLetter"/>
      <w:lvlText w:val="(%1)"/>
      <w:lvlJc w:val="left"/>
      <w:pPr>
        <w:tabs>
          <w:tab w:val="num" w:pos="2160"/>
        </w:tabs>
        <w:ind w:left="2160" w:hanging="72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7" w15:restartNumberingAfterBreak="0">
    <w:nsid w:val="4243574D"/>
    <w:multiLevelType w:val="singleLevel"/>
    <w:tmpl w:val="BEF08BAC"/>
    <w:lvl w:ilvl="0">
      <w:start w:val="1"/>
      <w:numFmt w:val="lowerLetter"/>
      <w:lvlText w:val="(%1)"/>
      <w:lvlJc w:val="left"/>
      <w:pPr>
        <w:tabs>
          <w:tab w:val="num" w:pos="1414"/>
        </w:tabs>
        <w:ind w:left="1414" w:hanging="705"/>
      </w:pPr>
      <w:rPr>
        <w:rFonts w:hint="default"/>
      </w:rPr>
    </w:lvl>
  </w:abstractNum>
  <w:abstractNum w:abstractNumId="18" w15:restartNumberingAfterBreak="0">
    <w:nsid w:val="49D24763"/>
    <w:multiLevelType w:val="multilevel"/>
    <w:tmpl w:val="1FAA08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026543"/>
    <w:multiLevelType w:val="multilevel"/>
    <w:tmpl w:val="035AEA2C"/>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CE6EBF"/>
    <w:multiLevelType w:val="hybridMultilevel"/>
    <w:tmpl w:val="63FC523A"/>
    <w:lvl w:ilvl="0" w:tplc="4F481678">
      <w:start w:val="1"/>
      <w:numFmt w:val="lowerRoman"/>
      <w:lvlText w:val="(%1)"/>
      <w:lvlJc w:val="left"/>
      <w:pPr>
        <w:ind w:left="2149" w:hanging="72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21" w15:restartNumberingAfterBreak="0">
    <w:nsid w:val="576C12D1"/>
    <w:multiLevelType w:val="hybridMultilevel"/>
    <w:tmpl w:val="2480B14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59BF41A7"/>
    <w:multiLevelType w:val="multilevel"/>
    <w:tmpl w:val="1FAA08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7D54B7"/>
    <w:multiLevelType w:val="hybridMultilevel"/>
    <w:tmpl w:val="19CC3012"/>
    <w:lvl w:ilvl="0" w:tplc="7D220E40">
      <w:start w:val="1"/>
      <w:numFmt w:val="lowerLetter"/>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4" w15:restartNumberingAfterBreak="0">
    <w:nsid w:val="6455578D"/>
    <w:multiLevelType w:val="multilevel"/>
    <w:tmpl w:val="1C2886D8"/>
    <w:lvl w:ilvl="0">
      <w:start w:val="1"/>
      <w:numFmt w:val="decimal"/>
      <w:pStyle w:val="Heading2"/>
      <w:lvlText w:val="%1."/>
      <w:lvlJc w:val="left"/>
      <w:pPr>
        <w:tabs>
          <w:tab w:val="num" w:pos="5747"/>
        </w:tabs>
        <w:ind w:left="5747" w:hanging="360"/>
      </w:pPr>
      <w:rPr>
        <w:rFonts w:hint="default"/>
        <w:b/>
        <w:strike w:val="0"/>
      </w:rPr>
    </w:lvl>
    <w:lvl w:ilvl="1">
      <w:start w:val="1"/>
      <w:numFmt w:val="decimal"/>
      <w:pStyle w:val="bodytext"/>
      <w:lvlText w:val="%1.%2."/>
      <w:lvlJc w:val="left"/>
      <w:pPr>
        <w:tabs>
          <w:tab w:val="num" w:pos="567"/>
        </w:tabs>
        <w:ind w:left="567" w:firstLine="0"/>
      </w:pPr>
      <w:rPr>
        <w:rFonts w:hint="default"/>
        <w:b w:val="0"/>
        <w:i w:val="0"/>
      </w:rPr>
    </w:lvl>
    <w:lvl w:ilvl="2">
      <w:start w:val="1"/>
      <w:numFmt w:val="decimal"/>
      <w:pStyle w:val="bodytext1"/>
      <w:lvlText w:val="%1.%2.%3."/>
      <w:lvlJc w:val="left"/>
      <w:pPr>
        <w:tabs>
          <w:tab w:val="num" w:pos="504"/>
        </w:tabs>
        <w:ind w:left="504" w:hanging="504"/>
      </w:pPr>
      <w:rPr>
        <w:rFonts w:hint="default"/>
        <w:b w:val="0"/>
      </w:rPr>
    </w:lvl>
    <w:lvl w:ilvl="3">
      <w:start w:val="1"/>
      <w:numFmt w:val="decimal"/>
      <w:pStyle w:val="bodytext2"/>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65D61326"/>
    <w:multiLevelType w:val="multilevel"/>
    <w:tmpl w:val="B9243C6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62A3943"/>
    <w:multiLevelType w:val="multilevel"/>
    <w:tmpl w:val="CB60D08C"/>
    <w:lvl w:ilvl="0">
      <w:start w:val="2"/>
      <w:numFmt w:val="decimal"/>
      <w:lvlText w:val="%1."/>
      <w:lvlJc w:val="left"/>
      <w:pPr>
        <w:tabs>
          <w:tab w:val="num" w:pos="720"/>
        </w:tabs>
        <w:ind w:left="720" w:hanging="720"/>
      </w:pPr>
      <w:rPr>
        <w:rFonts w:ascii="Arial" w:hAnsi="Arial" w:hint="default"/>
        <w:b w:val="0"/>
        <w:i w:val="0"/>
        <w:caps w:val="0"/>
        <w:strike w:val="0"/>
        <w:dstrike w:val="0"/>
        <w:vanish w:val="0"/>
        <w:color w:val="auto"/>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bered2"/>
      <w:lvlText w:val="%1.%2."/>
      <w:lvlJc w:val="left"/>
      <w:pPr>
        <w:tabs>
          <w:tab w:val="num" w:pos="720"/>
        </w:tabs>
        <w:ind w:left="72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3"/>
      <w:lvlText w:val="%1.%2.%3."/>
      <w:lvlJc w:val="left"/>
      <w:pPr>
        <w:tabs>
          <w:tab w:val="num" w:pos="2040"/>
        </w:tabs>
        <w:ind w:left="204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umbered4"/>
      <w:lvlText w:val="%1.%2.%3.%4."/>
      <w:lvlJc w:val="left"/>
      <w:pPr>
        <w:tabs>
          <w:tab w:val="num" w:pos="3240"/>
        </w:tabs>
        <w:ind w:left="3240" w:hanging="108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umbered5"/>
      <w:lvlText w:val="%1.%2.%3.%4.%5."/>
      <w:lvlJc w:val="left"/>
      <w:pPr>
        <w:tabs>
          <w:tab w:val="num" w:pos="4680"/>
        </w:tabs>
        <w:ind w:left="4680" w:hanging="144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6550B90"/>
    <w:multiLevelType w:val="hybridMultilevel"/>
    <w:tmpl w:val="A080C90E"/>
    <w:lvl w:ilvl="0" w:tplc="17765BA8">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15:restartNumberingAfterBreak="0">
    <w:nsid w:val="66B61ECD"/>
    <w:multiLevelType w:val="hybridMultilevel"/>
    <w:tmpl w:val="B16642EE"/>
    <w:lvl w:ilvl="0" w:tplc="28FEEE56">
      <w:start w:val="1"/>
      <w:numFmt w:val="lowerLetter"/>
      <w:lvlText w:val="%1."/>
      <w:lvlJc w:val="left"/>
      <w:pPr>
        <w:ind w:left="720" w:hanging="360"/>
      </w:pPr>
    </w:lvl>
    <w:lvl w:ilvl="1" w:tplc="0C266152">
      <w:start w:val="1"/>
      <w:numFmt w:val="lowerLetter"/>
      <w:lvlText w:val="%2."/>
      <w:lvlJc w:val="left"/>
      <w:pPr>
        <w:ind w:left="1440" w:hanging="360"/>
      </w:pPr>
    </w:lvl>
    <w:lvl w:ilvl="2" w:tplc="03F2D572">
      <w:start w:val="1"/>
      <w:numFmt w:val="lowerRoman"/>
      <w:lvlText w:val="%3."/>
      <w:lvlJc w:val="right"/>
      <w:pPr>
        <w:ind w:left="2160" w:hanging="180"/>
      </w:pPr>
    </w:lvl>
    <w:lvl w:ilvl="3" w:tplc="FAD6A860">
      <w:start w:val="1"/>
      <w:numFmt w:val="decimal"/>
      <w:lvlText w:val="%4."/>
      <w:lvlJc w:val="left"/>
      <w:pPr>
        <w:ind w:left="2880" w:hanging="360"/>
      </w:pPr>
    </w:lvl>
    <w:lvl w:ilvl="4" w:tplc="EF18FBB8">
      <w:start w:val="1"/>
      <w:numFmt w:val="lowerLetter"/>
      <w:lvlText w:val="%5."/>
      <w:lvlJc w:val="left"/>
      <w:pPr>
        <w:ind w:left="3600" w:hanging="360"/>
      </w:pPr>
    </w:lvl>
    <w:lvl w:ilvl="5" w:tplc="86E234E2">
      <w:start w:val="1"/>
      <w:numFmt w:val="lowerRoman"/>
      <w:lvlText w:val="%6."/>
      <w:lvlJc w:val="right"/>
      <w:pPr>
        <w:ind w:left="4320" w:hanging="180"/>
      </w:pPr>
    </w:lvl>
    <w:lvl w:ilvl="6" w:tplc="0950B8CE">
      <w:start w:val="1"/>
      <w:numFmt w:val="decimal"/>
      <w:lvlText w:val="%7."/>
      <w:lvlJc w:val="left"/>
      <w:pPr>
        <w:ind w:left="5040" w:hanging="360"/>
      </w:pPr>
    </w:lvl>
    <w:lvl w:ilvl="7" w:tplc="54CECA1C">
      <w:start w:val="1"/>
      <w:numFmt w:val="lowerLetter"/>
      <w:lvlText w:val="%8."/>
      <w:lvlJc w:val="left"/>
      <w:pPr>
        <w:ind w:left="5760" w:hanging="360"/>
      </w:pPr>
    </w:lvl>
    <w:lvl w:ilvl="8" w:tplc="2C007ECE">
      <w:start w:val="1"/>
      <w:numFmt w:val="lowerRoman"/>
      <w:lvlText w:val="%9."/>
      <w:lvlJc w:val="right"/>
      <w:pPr>
        <w:ind w:left="6480" w:hanging="180"/>
      </w:pPr>
    </w:lvl>
  </w:abstractNum>
  <w:abstractNum w:abstractNumId="29" w15:restartNumberingAfterBreak="0">
    <w:nsid w:val="6AEF183B"/>
    <w:multiLevelType w:val="hybridMultilevel"/>
    <w:tmpl w:val="8070E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FC6164"/>
    <w:multiLevelType w:val="multilevel"/>
    <w:tmpl w:val="1FAA08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9A0682"/>
    <w:multiLevelType w:val="hybridMultilevel"/>
    <w:tmpl w:val="9646A7E0"/>
    <w:lvl w:ilvl="0" w:tplc="2D2EC96A">
      <w:start w:val="1"/>
      <w:numFmt w:val="lowerLetter"/>
      <w:lvlText w:val="(%1)"/>
      <w:lvlJc w:val="left"/>
      <w:pPr>
        <w:ind w:left="2149" w:hanging="72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32" w15:restartNumberingAfterBreak="0">
    <w:nsid w:val="710B1529"/>
    <w:multiLevelType w:val="hybridMultilevel"/>
    <w:tmpl w:val="9BC0ACD4"/>
    <w:lvl w:ilvl="0" w:tplc="CA70E9D2">
      <w:start w:val="1"/>
      <w:numFmt w:val="lowerRoman"/>
      <w:lvlText w:val="(%1)"/>
      <w:lvlJc w:val="left"/>
      <w:pPr>
        <w:ind w:left="2149" w:hanging="72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33" w15:restartNumberingAfterBreak="0">
    <w:nsid w:val="71615F2E"/>
    <w:multiLevelType w:val="hybridMultilevel"/>
    <w:tmpl w:val="F0F8DA6E"/>
    <w:lvl w:ilvl="0" w:tplc="92984B5C">
      <w:start w:val="1"/>
      <w:numFmt w:val="lowerLetter"/>
      <w:lvlText w:val="(%1)"/>
      <w:lvlJc w:val="left"/>
      <w:pPr>
        <w:ind w:left="720" w:hanging="360"/>
      </w:pPr>
      <w:rPr>
        <w:rFonts w:cs="Times New Roman"/>
      </w:rPr>
    </w:lvl>
    <w:lvl w:ilvl="1" w:tplc="0809000F">
      <w:start w:val="1"/>
      <w:numFmt w:val="decimal"/>
      <w:lvlText w:val="%2."/>
      <w:lvlJc w:val="left"/>
      <w:pPr>
        <w:ind w:left="1440" w:hanging="360"/>
      </w:p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4" w15:restartNumberingAfterBreak="0">
    <w:nsid w:val="74B061ED"/>
    <w:multiLevelType w:val="multilevel"/>
    <w:tmpl w:val="0A72FF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6DB016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240204"/>
    <w:multiLevelType w:val="singleLevel"/>
    <w:tmpl w:val="FDA8C3D6"/>
    <w:lvl w:ilvl="0">
      <w:start w:val="1"/>
      <w:numFmt w:val="decimal"/>
      <w:lvlText w:val="%1."/>
      <w:lvlJc w:val="left"/>
      <w:pPr>
        <w:tabs>
          <w:tab w:val="num" w:pos="567"/>
        </w:tabs>
        <w:ind w:left="567" w:hanging="567"/>
      </w:pPr>
    </w:lvl>
  </w:abstractNum>
  <w:abstractNum w:abstractNumId="37" w15:restartNumberingAfterBreak="0">
    <w:nsid w:val="7A5847D5"/>
    <w:multiLevelType w:val="hybridMultilevel"/>
    <w:tmpl w:val="AA20FE50"/>
    <w:lvl w:ilvl="0" w:tplc="56FA421C">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8" w15:restartNumberingAfterBreak="0">
    <w:nsid w:val="7B8E3C08"/>
    <w:multiLevelType w:val="hybridMultilevel"/>
    <w:tmpl w:val="34B467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7CA75A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711CCF"/>
    <w:multiLevelType w:val="singleLevel"/>
    <w:tmpl w:val="6CB4B75C"/>
    <w:lvl w:ilvl="0">
      <w:start w:val="1"/>
      <w:numFmt w:val="lowerLetter"/>
      <w:lvlText w:val="(%1)"/>
      <w:lvlJc w:val="left"/>
      <w:pPr>
        <w:tabs>
          <w:tab w:val="num" w:pos="1440"/>
        </w:tabs>
        <w:ind w:left="1440" w:hanging="720"/>
      </w:pPr>
      <w:rPr>
        <w:rFonts w:asciiTheme="minorHAnsi" w:eastAsia="Times New Roman" w:hAnsiTheme="minorHAnsi" w:cstheme="minorHAnsi" w:hint="default"/>
        <w:i w:val="0"/>
        <w:iCs w:val="0"/>
      </w:rPr>
    </w:lvl>
  </w:abstractNum>
  <w:abstractNum w:abstractNumId="41" w15:restartNumberingAfterBreak="0">
    <w:nsid w:val="7F693236"/>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048456927">
    <w:abstractNumId w:val="24"/>
  </w:num>
  <w:num w:numId="2" w16cid:durableId="1131023485">
    <w:abstractNumId w:val="26"/>
  </w:num>
  <w:num w:numId="3" w16cid:durableId="363942139">
    <w:abstractNumId w:val="24"/>
  </w:num>
  <w:num w:numId="4" w16cid:durableId="114439492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99586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2579949">
    <w:abstractNumId w:val="24"/>
  </w:num>
  <w:num w:numId="7" w16cid:durableId="766123566">
    <w:abstractNumId w:val="16"/>
  </w:num>
  <w:num w:numId="8" w16cid:durableId="1373000485">
    <w:abstractNumId w:val="10"/>
  </w:num>
  <w:num w:numId="9" w16cid:durableId="1277371852">
    <w:abstractNumId w:val="24"/>
  </w:num>
  <w:num w:numId="10" w16cid:durableId="472719362">
    <w:abstractNumId w:val="39"/>
  </w:num>
  <w:num w:numId="11" w16cid:durableId="539514721">
    <w:abstractNumId w:val="35"/>
  </w:num>
  <w:num w:numId="12" w16cid:durableId="297958968">
    <w:abstractNumId w:val="41"/>
  </w:num>
  <w:num w:numId="13" w16cid:durableId="570894856">
    <w:abstractNumId w:val="34"/>
  </w:num>
  <w:num w:numId="14" w16cid:durableId="521240089">
    <w:abstractNumId w:val="7"/>
  </w:num>
  <w:num w:numId="15" w16cid:durableId="1403988528">
    <w:abstractNumId w:val="8"/>
  </w:num>
  <w:num w:numId="16" w16cid:durableId="929852560">
    <w:abstractNumId w:val="29"/>
  </w:num>
  <w:num w:numId="17" w16cid:durableId="398676266">
    <w:abstractNumId w:val="14"/>
  </w:num>
  <w:num w:numId="18" w16cid:durableId="2143501299">
    <w:abstractNumId w:val="18"/>
  </w:num>
  <w:num w:numId="19" w16cid:durableId="1558736519">
    <w:abstractNumId w:val="5"/>
  </w:num>
  <w:num w:numId="20" w16cid:durableId="411586086">
    <w:abstractNumId w:val="30"/>
  </w:num>
  <w:num w:numId="21" w16cid:durableId="514656541">
    <w:abstractNumId w:val="22"/>
  </w:num>
  <w:num w:numId="22" w16cid:durableId="413556677">
    <w:abstractNumId w:val="24"/>
    <w:lvlOverride w:ilvl="0">
      <w:startOverride w:val="7"/>
    </w:lvlOverride>
  </w:num>
  <w:num w:numId="23" w16cid:durableId="1677221367">
    <w:abstractNumId w:val="15"/>
  </w:num>
  <w:num w:numId="24" w16cid:durableId="2144080351">
    <w:abstractNumId w:val="9"/>
  </w:num>
  <w:num w:numId="25" w16cid:durableId="851795526">
    <w:abstractNumId w:val="6"/>
  </w:num>
  <w:num w:numId="26" w16cid:durableId="2050833717">
    <w:abstractNumId w:val="32"/>
  </w:num>
  <w:num w:numId="27" w16cid:durableId="1555237703">
    <w:abstractNumId w:val="27"/>
  </w:num>
  <w:num w:numId="28" w16cid:durableId="258607098">
    <w:abstractNumId w:val="20"/>
  </w:num>
  <w:num w:numId="29" w16cid:durableId="49812667">
    <w:abstractNumId w:val="0"/>
  </w:num>
  <w:num w:numId="30" w16cid:durableId="2085494990">
    <w:abstractNumId w:val="31"/>
  </w:num>
  <w:num w:numId="31" w16cid:durableId="997222070">
    <w:abstractNumId w:val="17"/>
  </w:num>
  <w:num w:numId="32" w16cid:durableId="249897642">
    <w:abstractNumId w:val="40"/>
  </w:num>
  <w:num w:numId="33" w16cid:durableId="1964649340">
    <w:abstractNumId w:val="3"/>
  </w:num>
  <w:num w:numId="34" w16cid:durableId="1600598555">
    <w:abstractNumId w:val="12"/>
  </w:num>
  <w:num w:numId="35" w16cid:durableId="1560046586">
    <w:abstractNumId w:val="1"/>
  </w:num>
  <w:num w:numId="36" w16cid:durableId="1215119776">
    <w:abstractNumId w:val="25"/>
  </w:num>
  <w:num w:numId="37" w16cid:durableId="1357077235">
    <w:abstractNumId w:val="2"/>
  </w:num>
  <w:num w:numId="38" w16cid:durableId="5987901">
    <w:abstractNumId w:val="21"/>
  </w:num>
  <w:num w:numId="39" w16cid:durableId="239366753">
    <w:abstractNumId w:val="11"/>
  </w:num>
  <w:num w:numId="40" w16cid:durableId="167796930">
    <w:abstractNumId w:val="37"/>
  </w:num>
  <w:num w:numId="41" w16cid:durableId="576522189">
    <w:abstractNumId w:val="24"/>
  </w:num>
  <w:num w:numId="42" w16cid:durableId="1274289201">
    <w:abstractNumId w:val="19"/>
  </w:num>
  <w:num w:numId="43" w16cid:durableId="224030998">
    <w:abstractNumId w:val="24"/>
  </w:num>
  <w:num w:numId="44" w16cid:durableId="1979141298">
    <w:abstractNumId w:val="36"/>
  </w:num>
  <w:num w:numId="45" w16cid:durableId="633293138">
    <w:abstractNumId w:val="33"/>
  </w:num>
  <w:num w:numId="46" w16cid:durableId="901021009">
    <w:abstractNumId w:val="28"/>
  </w:num>
  <w:num w:numId="47" w16cid:durableId="1858348779">
    <w:abstractNumId w:val="4"/>
  </w:num>
  <w:num w:numId="48" w16cid:durableId="1741053713">
    <w:abstractNumId w:val="13"/>
  </w:num>
  <w:num w:numId="49" w16cid:durableId="195162469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788460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57"/>
    <w:rsid w:val="000009CE"/>
    <w:rsid w:val="0000311E"/>
    <w:rsid w:val="00005253"/>
    <w:rsid w:val="0000620C"/>
    <w:rsid w:val="000078BF"/>
    <w:rsid w:val="00010F9D"/>
    <w:rsid w:val="0001401C"/>
    <w:rsid w:val="00014744"/>
    <w:rsid w:val="00016A50"/>
    <w:rsid w:val="00021FE5"/>
    <w:rsid w:val="00021FE6"/>
    <w:rsid w:val="00024F92"/>
    <w:rsid w:val="00025F83"/>
    <w:rsid w:val="0002664D"/>
    <w:rsid w:val="00032AB3"/>
    <w:rsid w:val="00032FF0"/>
    <w:rsid w:val="00034075"/>
    <w:rsid w:val="000343A3"/>
    <w:rsid w:val="00037A5A"/>
    <w:rsid w:val="00041B87"/>
    <w:rsid w:val="000448AF"/>
    <w:rsid w:val="00045BA7"/>
    <w:rsid w:val="000504FE"/>
    <w:rsid w:val="00051453"/>
    <w:rsid w:val="00057F03"/>
    <w:rsid w:val="000619EC"/>
    <w:rsid w:val="000623BF"/>
    <w:rsid w:val="0006474E"/>
    <w:rsid w:val="000671D7"/>
    <w:rsid w:val="00067FDD"/>
    <w:rsid w:val="000712E0"/>
    <w:rsid w:val="00071DCA"/>
    <w:rsid w:val="0007228A"/>
    <w:rsid w:val="00072B12"/>
    <w:rsid w:val="00073B4C"/>
    <w:rsid w:val="000746CA"/>
    <w:rsid w:val="000761CD"/>
    <w:rsid w:val="00077DAB"/>
    <w:rsid w:val="00077DB5"/>
    <w:rsid w:val="000804CE"/>
    <w:rsid w:val="00081429"/>
    <w:rsid w:val="0008154C"/>
    <w:rsid w:val="00082EAE"/>
    <w:rsid w:val="000835D4"/>
    <w:rsid w:val="00090F54"/>
    <w:rsid w:val="000918E2"/>
    <w:rsid w:val="00096B44"/>
    <w:rsid w:val="00096BBF"/>
    <w:rsid w:val="00097604"/>
    <w:rsid w:val="000A3D12"/>
    <w:rsid w:val="000B2E48"/>
    <w:rsid w:val="000B54CF"/>
    <w:rsid w:val="000B73AD"/>
    <w:rsid w:val="000C3DA6"/>
    <w:rsid w:val="000C4DA2"/>
    <w:rsid w:val="000C542A"/>
    <w:rsid w:val="000D01B8"/>
    <w:rsid w:val="000D0BF5"/>
    <w:rsid w:val="000D4092"/>
    <w:rsid w:val="000E1138"/>
    <w:rsid w:val="000E1456"/>
    <w:rsid w:val="000E6496"/>
    <w:rsid w:val="000F0FEE"/>
    <w:rsid w:val="000F394D"/>
    <w:rsid w:val="000F39C9"/>
    <w:rsid w:val="000F55FC"/>
    <w:rsid w:val="000F7328"/>
    <w:rsid w:val="001016CB"/>
    <w:rsid w:val="00102AA2"/>
    <w:rsid w:val="0010466D"/>
    <w:rsid w:val="00110E5A"/>
    <w:rsid w:val="00111C59"/>
    <w:rsid w:val="00112A10"/>
    <w:rsid w:val="0012205B"/>
    <w:rsid w:val="00125F32"/>
    <w:rsid w:val="001263B8"/>
    <w:rsid w:val="00126B76"/>
    <w:rsid w:val="00131E71"/>
    <w:rsid w:val="0013305E"/>
    <w:rsid w:val="00134B9C"/>
    <w:rsid w:val="00143014"/>
    <w:rsid w:val="001473F5"/>
    <w:rsid w:val="001479F5"/>
    <w:rsid w:val="00153A17"/>
    <w:rsid w:val="00153AA9"/>
    <w:rsid w:val="00155858"/>
    <w:rsid w:val="001632F3"/>
    <w:rsid w:val="00165A46"/>
    <w:rsid w:val="001773E5"/>
    <w:rsid w:val="00177AD3"/>
    <w:rsid w:val="00180557"/>
    <w:rsid w:val="00184830"/>
    <w:rsid w:val="00184C8B"/>
    <w:rsid w:val="00186DF3"/>
    <w:rsid w:val="0019034A"/>
    <w:rsid w:val="00190FD4"/>
    <w:rsid w:val="00192EAA"/>
    <w:rsid w:val="00195793"/>
    <w:rsid w:val="001A09BC"/>
    <w:rsid w:val="001A27DD"/>
    <w:rsid w:val="001A2D7D"/>
    <w:rsid w:val="001A3E6D"/>
    <w:rsid w:val="001A4EF7"/>
    <w:rsid w:val="001A5D8F"/>
    <w:rsid w:val="001B0C9B"/>
    <w:rsid w:val="001B1B58"/>
    <w:rsid w:val="001B7193"/>
    <w:rsid w:val="001C19D5"/>
    <w:rsid w:val="001C578F"/>
    <w:rsid w:val="001C774F"/>
    <w:rsid w:val="001D1332"/>
    <w:rsid w:val="001D1339"/>
    <w:rsid w:val="001D1954"/>
    <w:rsid w:val="001D46C7"/>
    <w:rsid w:val="001E0C4D"/>
    <w:rsid w:val="001E2CBF"/>
    <w:rsid w:val="001E4110"/>
    <w:rsid w:val="001E457C"/>
    <w:rsid w:val="001E4B83"/>
    <w:rsid w:val="001E6100"/>
    <w:rsid w:val="001F1019"/>
    <w:rsid w:val="001F29C0"/>
    <w:rsid w:val="001F2F71"/>
    <w:rsid w:val="001F3856"/>
    <w:rsid w:val="002016EF"/>
    <w:rsid w:val="00201D55"/>
    <w:rsid w:val="002031E6"/>
    <w:rsid w:val="00207F57"/>
    <w:rsid w:val="002115B7"/>
    <w:rsid w:val="00213E13"/>
    <w:rsid w:val="00217B65"/>
    <w:rsid w:val="0022011B"/>
    <w:rsid w:val="00220625"/>
    <w:rsid w:val="00221688"/>
    <w:rsid w:val="0022294A"/>
    <w:rsid w:val="00225783"/>
    <w:rsid w:val="00225DD4"/>
    <w:rsid w:val="002260AF"/>
    <w:rsid w:val="002268D5"/>
    <w:rsid w:val="00226EE3"/>
    <w:rsid w:val="00231344"/>
    <w:rsid w:val="00235BF8"/>
    <w:rsid w:val="0023769A"/>
    <w:rsid w:val="00242755"/>
    <w:rsid w:val="002439CA"/>
    <w:rsid w:val="00247701"/>
    <w:rsid w:val="00247E4C"/>
    <w:rsid w:val="0025154C"/>
    <w:rsid w:val="002520C6"/>
    <w:rsid w:val="00253C4E"/>
    <w:rsid w:val="0025564E"/>
    <w:rsid w:val="00257079"/>
    <w:rsid w:val="0025799C"/>
    <w:rsid w:val="002604D0"/>
    <w:rsid w:val="0026279B"/>
    <w:rsid w:val="00262E98"/>
    <w:rsid w:val="00265E49"/>
    <w:rsid w:val="00272674"/>
    <w:rsid w:val="002735BE"/>
    <w:rsid w:val="00274365"/>
    <w:rsid w:val="00275266"/>
    <w:rsid w:val="00280526"/>
    <w:rsid w:val="0028403F"/>
    <w:rsid w:val="00284E87"/>
    <w:rsid w:val="002904C7"/>
    <w:rsid w:val="00290DC4"/>
    <w:rsid w:val="00291700"/>
    <w:rsid w:val="00291E37"/>
    <w:rsid w:val="00292B0C"/>
    <w:rsid w:val="00293064"/>
    <w:rsid w:val="0029314D"/>
    <w:rsid w:val="00295BBF"/>
    <w:rsid w:val="00296BCE"/>
    <w:rsid w:val="002A1291"/>
    <w:rsid w:val="002B00EA"/>
    <w:rsid w:val="002B0F1B"/>
    <w:rsid w:val="002B2466"/>
    <w:rsid w:val="002B3113"/>
    <w:rsid w:val="002B43D3"/>
    <w:rsid w:val="002B586C"/>
    <w:rsid w:val="002B5BB1"/>
    <w:rsid w:val="002B695E"/>
    <w:rsid w:val="002B76FC"/>
    <w:rsid w:val="002C20F5"/>
    <w:rsid w:val="002C2E38"/>
    <w:rsid w:val="002C3842"/>
    <w:rsid w:val="002C41C5"/>
    <w:rsid w:val="002C66AD"/>
    <w:rsid w:val="002D0329"/>
    <w:rsid w:val="002D40E6"/>
    <w:rsid w:val="002D799E"/>
    <w:rsid w:val="002E3253"/>
    <w:rsid w:val="002E331E"/>
    <w:rsid w:val="002E481B"/>
    <w:rsid w:val="002E6695"/>
    <w:rsid w:val="002E7B36"/>
    <w:rsid w:val="002F2593"/>
    <w:rsid w:val="002F4424"/>
    <w:rsid w:val="002F6067"/>
    <w:rsid w:val="002F60BE"/>
    <w:rsid w:val="002F668E"/>
    <w:rsid w:val="002F7830"/>
    <w:rsid w:val="00305F03"/>
    <w:rsid w:val="003070FB"/>
    <w:rsid w:val="00311095"/>
    <w:rsid w:val="0031128F"/>
    <w:rsid w:val="0031571F"/>
    <w:rsid w:val="003171E9"/>
    <w:rsid w:val="0032280C"/>
    <w:rsid w:val="00322EF4"/>
    <w:rsid w:val="0032779E"/>
    <w:rsid w:val="00330684"/>
    <w:rsid w:val="00331384"/>
    <w:rsid w:val="003324E1"/>
    <w:rsid w:val="00334BEA"/>
    <w:rsid w:val="00341D75"/>
    <w:rsid w:val="003458FF"/>
    <w:rsid w:val="003537F8"/>
    <w:rsid w:val="003570F7"/>
    <w:rsid w:val="003578C6"/>
    <w:rsid w:val="00361BD9"/>
    <w:rsid w:val="00362A91"/>
    <w:rsid w:val="00384431"/>
    <w:rsid w:val="00384D60"/>
    <w:rsid w:val="003854C0"/>
    <w:rsid w:val="00385C93"/>
    <w:rsid w:val="00387A5F"/>
    <w:rsid w:val="003900BF"/>
    <w:rsid w:val="00392669"/>
    <w:rsid w:val="00392DA4"/>
    <w:rsid w:val="003941C3"/>
    <w:rsid w:val="003A24AD"/>
    <w:rsid w:val="003A2AB3"/>
    <w:rsid w:val="003A3DFD"/>
    <w:rsid w:val="003A5566"/>
    <w:rsid w:val="003A5AC3"/>
    <w:rsid w:val="003A5D97"/>
    <w:rsid w:val="003A5FD8"/>
    <w:rsid w:val="003A5FD9"/>
    <w:rsid w:val="003B76E6"/>
    <w:rsid w:val="003C0ADC"/>
    <w:rsid w:val="003C1327"/>
    <w:rsid w:val="003C13E2"/>
    <w:rsid w:val="003C4655"/>
    <w:rsid w:val="003E11D6"/>
    <w:rsid w:val="003E1E5D"/>
    <w:rsid w:val="003E509E"/>
    <w:rsid w:val="003E65D0"/>
    <w:rsid w:val="003E67A6"/>
    <w:rsid w:val="003F600D"/>
    <w:rsid w:val="003F7616"/>
    <w:rsid w:val="00401473"/>
    <w:rsid w:val="00403715"/>
    <w:rsid w:val="00406897"/>
    <w:rsid w:val="004110B4"/>
    <w:rsid w:val="00415615"/>
    <w:rsid w:val="00416CC2"/>
    <w:rsid w:val="00420277"/>
    <w:rsid w:val="00420FF7"/>
    <w:rsid w:val="00425249"/>
    <w:rsid w:val="004256C8"/>
    <w:rsid w:val="00426D89"/>
    <w:rsid w:val="00426DB2"/>
    <w:rsid w:val="004302D6"/>
    <w:rsid w:val="00431326"/>
    <w:rsid w:val="00437771"/>
    <w:rsid w:val="00437C02"/>
    <w:rsid w:val="00447C01"/>
    <w:rsid w:val="004502F6"/>
    <w:rsid w:val="004563F8"/>
    <w:rsid w:val="004610E5"/>
    <w:rsid w:val="004616DA"/>
    <w:rsid w:val="00462E54"/>
    <w:rsid w:val="00465893"/>
    <w:rsid w:val="00465AB9"/>
    <w:rsid w:val="0047093C"/>
    <w:rsid w:val="00470BD2"/>
    <w:rsid w:val="00471B20"/>
    <w:rsid w:val="004762F1"/>
    <w:rsid w:val="004770AB"/>
    <w:rsid w:val="00482C40"/>
    <w:rsid w:val="004837E1"/>
    <w:rsid w:val="00484E7B"/>
    <w:rsid w:val="0048693E"/>
    <w:rsid w:val="004907CF"/>
    <w:rsid w:val="00491635"/>
    <w:rsid w:val="00491E2D"/>
    <w:rsid w:val="0049573C"/>
    <w:rsid w:val="004974D5"/>
    <w:rsid w:val="00497D69"/>
    <w:rsid w:val="004A1971"/>
    <w:rsid w:val="004A1CFD"/>
    <w:rsid w:val="004A5D10"/>
    <w:rsid w:val="004B021C"/>
    <w:rsid w:val="004B0D6D"/>
    <w:rsid w:val="004B0E3F"/>
    <w:rsid w:val="004B57B9"/>
    <w:rsid w:val="004B6B53"/>
    <w:rsid w:val="004C1A97"/>
    <w:rsid w:val="004C1D40"/>
    <w:rsid w:val="004C5CA8"/>
    <w:rsid w:val="004C72C5"/>
    <w:rsid w:val="004D1FB1"/>
    <w:rsid w:val="004D4768"/>
    <w:rsid w:val="004D4B87"/>
    <w:rsid w:val="004E2E50"/>
    <w:rsid w:val="004E4A54"/>
    <w:rsid w:val="004E5FB0"/>
    <w:rsid w:val="004E6397"/>
    <w:rsid w:val="004F26B2"/>
    <w:rsid w:val="004F2C5A"/>
    <w:rsid w:val="004F2FD3"/>
    <w:rsid w:val="004F71AE"/>
    <w:rsid w:val="005005A6"/>
    <w:rsid w:val="00500830"/>
    <w:rsid w:val="00502590"/>
    <w:rsid w:val="00504116"/>
    <w:rsid w:val="0050501B"/>
    <w:rsid w:val="005053F7"/>
    <w:rsid w:val="005055B6"/>
    <w:rsid w:val="0051131B"/>
    <w:rsid w:val="005139C2"/>
    <w:rsid w:val="00517696"/>
    <w:rsid w:val="00520A1D"/>
    <w:rsid w:val="0052447E"/>
    <w:rsid w:val="005252C4"/>
    <w:rsid w:val="00526127"/>
    <w:rsid w:val="00530AF5"/>
    <w:rsid w:val="005311AB"/>
    <w:rsid w:val="00533D03"/>
    <w:rsid w:val="00537D53"/>
    <w:rsid w:val="00537E47"/>
    <w:rsid w:val="00541769"/>
    <w:rsid w:val="00542C26"/>
    <w:rsid w:val="00545EDD"/>
    <w:rsid w:val="005463A9"/>
    <w:rsid w:val="005509DA"/>
    <w:rsid w:val="00560EE7"/>
    <w:rsid w:val="00564B96"/>
    <w:rsid w:val="00565670"/>
    <w:rsid w:val="005666CF"/>
    <w:rsid w:val="00567FA9"/>
    <w:rsid w:val="0057112B"/>
    <w:rsid w:val="00571ECD"/>
    <w:rsid w:val="005730B5"/>
    <w:rsid w:val="0057316C"/>
    <w:rsid w:val="00573B4A"/>
    <w:rsid w:val="0057621C"/>
    <w:rsid w:val="00576389"/>
    <w:rsid w:val="00577123"/>
    <w:rsid w:val="005771CC"/>
    <w:rsid w:val="00582E40"/>
    <w:rsid w:val="005837A9"/>
    <w:rsid w:val="00586802"/>
    <w:rsid w:val="0059021B"/>
    <w:rsid w:val="00591DE3"/>
    <w:rsid w:val="0059320F"/>
    <w:rsid w:val="00593479"/>
    <w:rsid w:val="00593767"/>
    <w:rsid w:val="00593A7C"/>
    <w:rsid w:val="005941A1"/>
    <w:rsid w:val="005957AA"/>
    <w:rsid w:val="00595DE6"/>
    <w:rsid w:val="005A0364"/>
    <w:rsid w:val="005A3996"/>
    <w:rsid w:val="005A5633"/>
    <w:rsid w:val="005A6957"/>
    <w:rsid w:val="005B0F49"/>
    <w:rsid w:val="005B25FF"/>
    <w:rsid w:val="005B3A2A"/>
    <w:rsid w:val="005B4A77"/>
    <w:rsid w:val="005B5650"/>
    <w:rsid w:val="005C3D47"/>
    <w:rsid w:val="005C4E46"/>
    <w:rsid w:val="005C7C3B"/>
    <w:rsid w:val="005C7C83"/>
    <w:rsid w:val="005D0719"/>
    <w:rsid w:val="005D0A06"/>
    <w:rsid w:val="005D1725"/>
    <w:rsid w:val="005D3295"/>
    <w:rsid w:val="005D3326"/>
    <w:rsid w:val="005D37EC"/>
    <w:rsid w:val="005D40F3"/>
    <w:rsid w:val="005D55D3"/>
    <w:rsid w:val="005E2536"/>
    <w:rsid w:val="005E535E"/>
    <w:rsid w:val="005F2389"/>
    <w:rsid w:val="005F610B"/>
    <w:rsid w:val="00601FBF"/>
    <w:rsid w:val="006025C1"/>
    <w:rsid w:val="006047E1"/>
    <w:rsid w:val="00604D42"/>
    <w:rsid w:val="006056A0"/>
    <w:rsid w:val="00610C40"/>
    <w:rsid w:val="00613093"/>
    <w:rsid w:val="00616529"/>
    <w:rsid w:val="0062752C"/>
    <w:rsid w:val="006333DE"/>
    <w:rsid w:val="0063655B"/>
    <w:rsid w:val="006374DF"/>
    <w:rsid w:val="006437E7"/>
    <w:rsid w:val="006461CF"/>
    <w:rsid w:val="00650EF8"/>
    <w:rsid w:val="006547DD"/>
    <w:rsid w:val="00663963"/>
    <w:rsid w:val="006671B6"/>
    <w:rsid w:val="0067249A"/>
    <w:rsid w:val="006727E1"/>
    <w:rsid w:val="006757CD"/>
    <w:rsid w:val="00677043"/>
    <w:rsid w:val="00677F6B"/>
    <w:rsid w:val="0068029C"/>
    <w:rsid w:val="00681808"/>
    <w:rsid w:val="00681F00"/>
    <w:rsid w:val="00683D92"/>
    <w:rsid w:val="006846AA"/>
    <w:rsid w:val="00691608"/>
    <w:rsid w:val="00693062"/>
    <w:rsid w:val="006960A5"/>
    <w:rsid w:val="006A1659"/>
    <w:rsid w:val="006A687D"/>
    <w:rsid w:val="006A6AE3"/>
    <w:rsid w:val="006B0F95"/>
    <w:rsid w:val="006B38B6"/>
    <w:rsid w:val="006B78F8"/>
    <w:rsid w:val="006C01E8"/>
    <w:rsid w:val="006D0B96"/>
    <w:rsid w:val="006D15BD"/>
    <w:rsid w:val="006E20FA"/>
    <w:rsid w:val="006E48E1"/>
    <w:rsid w:val="006F0298"/>
    <w:rsid w:val="006F3C2E"/>
    <w:rsid w:val="006F5AC0"/>
    <w:rsid w:val="006F5B55"/>
    <w:rsid w:val="006F7361"/>
    <w:rsid w:val="00700A94"/>
    <w:rsid w:val="007172E4"/>
    <w:rsid w:val="00721253"/>
    <w:rsid w:val="00721592"/>
    <w:rsid w:val="00724CD7"/>
    <w:rsid w:val="00725ABA"/>
    <w:rsid w:val="007300F5"/>
    <w:rsid w:val="00730495"/>
    <w:rsid w:val="007309FC"/>
    <w:rsid w:val="0073328F"/>
    <w:rsid w:val="00734C19"/>
    <w:rsid w:val="00737139"/>
    <w:rsid w:val="00742FC9"/>
    <w:rsid w:val="007457BC"/>
    <w:rsid w:val="0075406E"/>
    <w:rsid w:val="00757F5F"/>
    <w:rsid w:val="007657E9"/>
    <w:rsid w:val="0076771B"/>
    <w:rsid w:val="007700AA"/>
    <w:rsid w:val="007719FA"/>
    <w:rsid w:val="00772EAA"/>
    <w:rsid w:val="00775194"/>
    <w:rsid w:val="0078063E"/>
    <w:rsid w:val="0078305D"/>
    <w:rsid w:val="007831E9"/>
    <w:rsid w:val="0078403C"/>
    <w:rsid w:val="007860CD"/>
    <w:rsid w:val="00786C84"/>
    <w:rsid w:val="00790541"/>
    <w:rsid w:val="00792828"/>
    <w:rsid w:val="00795F44"/>
    <w:rsid w:val="0079675A"/>
    <w:rsid w:val="007A3696"/>
    <w:rsid w:val="007A3A45"/>
    <w:rsid w:val="007A5A3E"/>
    <w:rsid w:val="007A5A5B"/>
    <w:rsid w:val="007A5C02"/>
    <w:rsid w:val="007A5DC2"/>
    <w:rsid w:val="007A7AEE"/>
    <w:rsid w:val="007B349A"/>
    <w:rsid w:val="007B3F70"/>
    <w:rsid w:val="007C3859"/>
    <w:rsid w:val="007C3968"/>
    <w:rsid w:val="007C3EB5"/>
    <w:rsid w:val="007D649B"/>
    <w:rsid w:val="007D7205"/>
    <w:rsid w:val="007D7341"/>
    <w:rsid w:val="007E3248"/>
    <w:rsid w:val="007E4923"/>
    <w:rsid w:val="007E647A"/>
    <w:rsid w:val="007F0E1F"/>
    <w:rsid w:val="007F2DF5"/>
    <w:rsid w:val="007F7E02"/>
    <w:rsid w:val="008017F5"/>
    <w:rsid w:val="0080259A"/>
    <w:rsid w:val="0080321B"/>
    <w:rsid w:val="00803CC7"/>
    <w:rsid w:val="00806AE8"/>
    <w:rsid w:val="008112B1"/>
    <w:rsid w:val="00811401"/>
    <w:rsid w:val="00811C84"/>
    <w:rsid w:val="00817816"/>
    <w:rsid w:val="00817A05"/>
    <w:rsid w:val="00822BEB"/>
    <w:rsid w:val="00826EAA"/>
    <w:rsid w:val="008309E3"/>
    <w:rsid w:val="00831510"/>
    <w:rsid w:val="008344DC"/>
    <w:rsid w:val="0083528A"/>
    <w:rsid w:val="00836775"/>
    <w:rsid w:val="0083768F"/>
    <w:rsid w:val="00840E00"/>
    <w:rsid w:val="008430A5"/>
    <w:rsid w:val="008459B4"/>
    <w:rsid w:val="0084660A"/>
    <w:rsid w:val="00846F21"/>
    <w:rsid w:val="008479E6"/>
    <w:rsid w:val="0085098B"/>
    <w:rsid w:val="00854807"/>
    <w:rsid w:val="00856164"/>
    <w:rsid w:val="00861115"/>
    <w:rsid w:val="0086223E"/>
    <w:rsid w:val="00862759"/>
    <w:rsid w:val="008646E1"/>
    <w:rsid w:val="00867986"/>
    <w:rsid w:val="00870EA0"/>
    <w:rsid w:val="008712B6"/>
    <w:rsid w:val="00871731"/>
    <w:rsid w:val="00882099"/>
    <w:rsid w:val="00883241"/>
    <w:rsid w:val="00883E72"/>
    <w:rsid w:val="00885649"/>
    <w:rsid w:val="00893B21"/>
    <w:rsid w:val="008A0AEF"/>
    <w:rsid w:val="008A2B6B"/>
    <w:rsid w:val="008A4201"/>
    <w:rsid w:val="008B1B1C"/>
    <w:rsid w:val="008B2ED9"/>
    <w:rsid w:val="008D504E"/>
    <w:rsid w:val="008D5119"/>
    <w:rsid w:val="008D531C"/>
    <w:rsid w:val="008E0CC7"/>
    <w:rsid w:val="008E40D1"/>
    <w:rsid w:val="008E4BFB"/>
    <w:rsid w:val="008E4C72"/>
    <w:rsid w:val="008F0DFA"/>
    <w:rsid w:val="008F631D"/>
    <w:rsid w:val="00903123"/>
    <w:rsid w:val="0090442C"/>
    <w:rsid w:val="00906222"/>
    <w:rsid w:val="00907175"/>
    <w:rsid w:val="009078DF"/>
    <w:rsid w:val="00914685"/>
    <w:rsid w:val="00920970"/>
    <w:rsid w:val="00920E42"/>
    <w:rsid w:val="009214E2"/>
    <w:rsid w:val="0092247D"/>
    <w:rsid w:val="009227C3"/>
    <w:rsid w:val="00927867"/>
    <w:rsid w:val="0093053D"/>
    <w:rsid w:val="00930794"/>
    <w:rsid w:val="00931474"/>
    <w:rsid w:val="009317AF"/>
    <w:rsid w:val="00931A7D"/>
    <w:rsid w:val="00935807"/>
    <w:rsid w:val="00942968"/>
    <w:rsid w:val="00945B8D"/>
    <w:rsid w:val="00946187"/>
    <w:rsid w:val="00953095"/>
    <w:rsid w:val="00954CF7"/>
    <w:rsid w:val="009576A8"/>
    <w:rsid w:val="00957707"/>
    <w:rsid w:val="009631CB"/>
    <w:rsid w:val="00965024"/>
    <w:rsid w:val="00970C1A"/>
    <w:rsid w:val="00973FAA"/>
    <w:rsid w:val="00975A65"/>
    <w:rsid w:val="00983553"/>
    <w:rsid w:val="00984A0E"/>
    <w:rsid w:val="00984EE6"/>
    <w:rsid w:val="00985909"/>
    <w:rsid w:val="009861BC"/>
    <w:rsid w:val="009870E5"/>
    <w:rsid w:val="00991383"/>
    <w:rsid w:val="00993319"/>
    <w:rsid w:val="00994113"/>
    <w:rsid w:val="009973FB"/>
    <w:rsid w:val="009975A3"/>
    <w:rsid w:val="00997A42"/>
    <w:rsid w:val="00997B97"/>
    <w:rsid w:val="009A0E5B"/>
    <w:rsid w:val="009A112C"/>
    <w:rsid w:val="009A27F3"/>
    <w:rsid w:val="009A2D7F"/>
    <w:rsid w:val="009A4D2D"/>
    <w:rsid w:val="009A6CE0"/>
    <w:rsid w:val="009B03A5"/>
    <w:rsid w:val="009B2D4F"/>
    <w:rsid w:val="009B30B2"/>
    <w:rsid w:val="009C41EF"/>
    <w:rsid w:val="009C67EF"/>
    <w:rsid w:val="009D3C89"/>
    <w:rsid w:val="009D4571"/>
    <w:rsid w:val="009D51B6"/>
    <w:rsid w:val="009E05D4"/>
    <w:rsid w:val="009E0614"/>
    <w:rsid w:val="009E0C96"/>
    <w:rsid w:val="009E141F"/>
    <w:rsid w:val="009E28FA"/>
    <w:rsid w:val="009E39DC"/>
    <w:rsid w:val="009F0FD8"/>
    <w:rsid w:val="009F1ADC"/>
    <w:rsid w:val="009F1DF1"/>
    <w:rsid w:val="009F3265"/>
    <w:rsid w:val="009F434C"/>
    <w:rsid w:val="009F4474"/>
    <w:rsid w:val="009F5221"/>
    <w:rsid w:val="009F5A36"/>
    <w:rsid w:val="00A00623"/>
    <w:rsid w:val="00A010AA"/>
    <w:rsid w:val="00A019A1"/>
    <w:rsid w:val="00A01F89"/>
    <w:rsid w:val="00A02A00"/>
    <w:rsid w:val="00A10DF9"/>
    <w:rsid w:val="00A118D5"/>
    <w:rsid w:val="00A16954"/>
    <w:rsid w:val="00A24DEC"/>
    <w:rsid w:val="00A266E8"/>
    <w:rsid w:val="00A27865"/>
    <w:rsid w:val="00A32061"/>
    <w:rsid w:val="00A322A0"/>
    <w:rsid w:val="00A42DB7"/>
    <w:rsid w:val="00A50215"/>
    <w:rsid w:val="00A52647"/>
    <w:rsid w:val="00A54692"/>
    <w:rsid w:val="00A54802"/>
    <w:rsid w:val="00A560F2"/>
    <w:rsid w:val="00A56DEA"/>
    <w:rsid w:val="00A57F19"/>
    <w:rsid w:val="00A645D2"/>
    <w:rsid w:val="00A647BA"/>
    <w:rsid w:val="00A65959"/>
    <w:rsid w:val="00A66D18"/>
    <w:rsid w:val="00A700A9"/>
    <w:rsid w:val="00A71B64"/>
    <w:rsid w:val="00A73DDF"/>
    <w:rsid w:val="00A87200"/>
    <w:rsid w:val="00A91C8C"/>
    <w:rsid w:val="00A926BF"/>
    <w:rsid w:val="00A94323"/>
    <w:rsid w:val="00A94C8C"/>
    <w:rsid w:val="00A94E5E"/>
    <w:rsid w:val="00A96306"/>
    <w:rsid w:val="00A96EFE"/>
    <w:rsid w:val="00AA1267"/>
    <w:rsid w:val="00AA1808"/>
    <w:rsid w:val="00AA49C5"/>
    <w:rsid w:val="00AC0271"/>
    <w:rsid w:val="00AC1190"/>
    <w:rsid w:val="00AC220A"/>
    <w:rsid w:val="00AC2983"/>
    <w:rsid w:val="00AC5E41"/>
    <w:rsid w:val="00AC676C"/>
    <w:rsid w:val="00AD332F"/>
    <w:rsid w:val="00AE0211"/>
    <w:rsid w:val="00AE06AA"/>
    <w:rsid w:val="00AE2F38"/>
    <w:rsid w:val="00AE5236"/>
    <w:rsid w:val="00AE666F"/>
    <w:rsid w:val="00AF0743"/>
    <w:rsid w:val="00AF1A76"/>
    <w:rsid w:val="00AF2EBC"/>
    <w:rsid w:val="00AF7A90"/>
    <w:rsid w:val="00B07BD8"/>
    <w:rsid w:val="00B1173D"/>
    <w:rsid w:val="00B1188D"/>
    <w:rsid w:val="00B137AC"/>
    <w:rsid w:val="00B1646A"/>
    <w:rsid w:val="00B209F5"/>
    <w:rsid w:val="00B22814"/>
    <w:rsid w:val="00B22D30"/>
    <w:rsid w:val="00B25AE9"/>
    <w:rsid w:val="00B3017B"/>
    <w:rsid w:val="00B32CE7"/>
    <w:rsid w:val="00B32DA7"/>
    <w:rsid w:val="00B3300C"/>
    <w:rsid w:val="00B353F1"/>
    <w:rsid w:val="00B3650F"/>
    <w:rsid w:val="00B40834"/>
    <w:rsid w:val="00B40BBF"/>
    <w:rsid w:val="00B421E9"/>
    <w:rsid w:val="00B42304"/>
    <w:rsid w:val="00B430D3"/>
    <w:rsid w:val="00B43433"/>
    <w:rsid w:val="00B463F1"/>
    <w:rsid w:val="00B5499A"/>
    <w:rsid w:val="00B57C97"/>
    <w:rsid w:val="00B57EA1"/>
    <w:rsid w:val="00B60A5C"/>
    <w:rsid w:val="00B63C1E"/>
    <w:rsid w:val="00B64EBB"/>
    <w:rsid w:val="00B65DA0"/>
    <w:rsid w:val="00B75620"/>
    <w:rsid w:val="00B75A07"/>
    <w:rsid w:val="00B81895"/>
    <w:rsid w:val="00B8287D"/>
    <w:rsid w:val="00B840E3"/>
    <w:rsid w:val="00B85119"/>
    <w:rsid w:val="00B85BBA"/>
    <w:rsid w:val="00B85D8C"/>
    <w:rsid w:val="00B863E0"/>
    <w:rsid w:val="00B90F39"/>
    <w:rsid w:val="00B91112"/>
    <w:rsid w:val="00B913BA"/>
    <w:rsid w:val="00B96AC7"/>
    <w:rsid w:val="00B97F0E"/>
    <w:rsid w:val="00BA1767"/>
    <w:rsid w:val="00BA26E1"/>
    <w:rsid w:val="00BB166D"/>
    <w:rsid w:val="00BB1EB9"/>
    <w:rsid w:val="00BB4284"/>
    <w:rsid w:val="00BB51D9"/>
    <w:rsid w:val="00BC3243"/>
    <w:rsid w:val="00BC349D"/>
    <w:rsid w:val="00BC4A10"/>
    <w:rsid w:val="00BC5BE7"/>
    <w:rsid w:val="00BD1977"/>
    <w:rsid w:val="00BD36AD"/>
    <w:rsid w:val="00BD46FB"/>
    <w:rsid w:val="00BD5DF4"/>
    <w:rsid w:val="00BD607F"/>
    <w:rsid w:val="00BE28E7"/>
    <w:rsid w:val="00BE4650"/>
    <w:rsid w:val="00BE562E"/>
    <w:rsid w:val="00BE7F4D"/>
    <w:rsid w:val="00BF067D"/>
    <w:rsid w:val="00BF17B6"/>
    <w:rsid w:val="00BF2F57"/>
    <w:rsid w:val="00BF617D"/>
    <w:rsid w:val="00BF64C0"/>
    <w:rsid w:val="00BF6587"/>
    <w:rsid w:val="00C01EF9"/>
    <w:rsid w:val="00C0329B"/>
    <w:rsid w:val="00C0340D"/>
    <w:rsid w:val="00C055B6"/>
    <w:rsid w:val="00C104DF"/>
    <w:rsid w:val="00C11452"/>
    <w:rsid w:val="00C114E8"/>
    <w:rsid w:val="00C1164A"/>
    <w:rsid w:val="00C14B7C"/>
    <w:rsid w:val="00C225BF"/>
    <w:rsid w:val="00C22E0E"/>
    <w:rsid w:val="00C3007C"/>
    <w:rsid w:val="00C32C82"/>
    <w:rsid w:val="00C36D5A"/>
    <w:rsid w:val="00C41C74"/>
    <w:rsid w:val="00C43476"/>
    <w:rsid w:val="00C434CB"/>
    <w:rsid w:val="00C44EE0"/>
    <w:rsid w:val="00C5034B"/>
    <w:rsid w:val="00C557BC"/>
    <w:rsid w:val="00C55872"/>
    <w:rsid w:val="00C55EA3"/>
    <w:rsid w:val="00C6270C"/>
    <w:rsid w:val="00C6547E"/>
    <w:rsid w:val="00C70E76"/>
    <w:rsid w:val="00C72602"/>
    <w:rsid w:val="00C74764"/>
    <w:rsid w:val="00C81216"/>
    <w:rsid w:val="00C8273F"/>
    <w:rsid w:val="00C86F72"/>
    <w:rsid w:val="00C915E7"/>
    <w:rsid w:val="00C9165E"/>
    <w:rsid w:val="00C97CE0"/>
    <w:rsid w:val="00CA0255"/>
    <w:rsid w:val="00CA053B"/>
    <w:rsid w:val="00CA15DF"/>
    <w:rsid w:val="00CA1716"/>
    <w:rsid w:val="00CA19AE"/>
    <w:rsid w:val="00CA3A7D"/>
    <w:rsid w:val="00CA486E"/>
    <w:rsid w:val="00CA4C89"/>
    <w:rsid w:val="00CB06C0"/>
    <w:rsid w:val="00CB5AF6"/>
    <w:rsid w:val="00CB70F2"/>
    <w:rsid w:val="00CB7121"/>
    <w:rsid w:val="00CB7B62"/>
    <w:rsid w:val="00CD038A"/>
    <w:rsid w:val="00CD20BC"/>
    <w:rsid w:val="00CD21F7"/>
    <w:rsid w:val="00CD26B3"/>
    <w:rsid w:val="00CD7EAF"/>
    <w:rsid w:val="00CE258E"/>
    <w:rsid w:val="00CE272F"/>
    <w:rsid w:val="00CE3CCE"/>
    <w:rsid w:val="00CE5125"/>
    <w:rsid w:val="00CE5950"/>
    <w:rsid w:val="00CF567B"/>
    <w:rsid w:val="00CF6803"/>
    <w:rsid w:val="00D0120C"/>
    <w:rsid w:val="00D10996"/>
    <w:rsid w:val="00D11555"/>
    <w:rsid w:val="00D122ED"/>
    <w:rsid w:val="00D13C27"/>
    <w:rsid w:val="00D142D9"/>
    <w:rsid w:val="00D14721"/>
    <w:rsid w:val="00D17468"/>
    <w:rsid w:val="00D175F8"/>
    <w:rsid w:val="00D220CB"/>
    <w:rsid w:val="00D23C1C"/>
    <w:rsid w:val="00D24D8D"/>
    <w:rsid w:val="00D27F65"/>
    <w:rsid w:val="00D30AA6"/>
    <w:rsid w:val="00D32174"/>
    <w:rsid w:val="00D3287A"/>
    <w:rsid w:val="00D35AD7"/>
    <w:rsid w:val="00D368F6"/>
    <w:rsid w:val="00D42B99"/>
    <w:rsid w:val="00D42EC0"/>
    <w:rsid w:val="00D43083"/>
    <w:rsid w:val="00D4557D"/>
    <w:rsid w:val="00D5055A"/>
    <w:rsid w:val="00D511CB"/>
    <w:rsid w:val="00D5260B"/>
    <w:rsid w:val="00D530F9"/>
    <w:rsid w:val="00D53331"/>
    <w:rsid w:val="00D56DCF"/>
    <w:rsid w:val="00D6259A"/>
    <w:rsid w:val="00D62662"/>
    <w:rsid w:val="00D63418"/>
    <w:rsid w:val="00D64150"/>
    <w:rsid w:val="00D65C6E"/>
    <w:rsid w:val="00D6678D"/>
    <w:rsid w:val="00D710DF"/>
    <w:rsid w:val="00D71746"/>
    <w:rsid w:val="00D7510D"/>
    <w:rsid w:val="00D81984"/>
    <w:rsid w:val="00D84D4E"/>
    <w:rsid w:val="00D8788C"/>
    <w:rsid w:val="00D918CE"/>
    <w:rsid w:val="00D91F88"/>
    <w:rsid w:val="00D9250E"/>
    <w:rsid w:val="00D948EC"/>
    <w:rsid w:val="00D96E5C"/>
    <w:rsid w:val="00DA367B"/>
    <w:rsid w:val="00DA4F97"/>
    <w:rsid w:val="00DA5595"/>
    <w:rsid w:val="00DB07E4"/>
    <w:rsid w:val="00DB0C6C"/>
    <w:rsid w:val="00DB3576"/>
    <w:rsid w:val="00DB55A8"/>
    <w:rsid w:val="00DB7DE2"/>
    <w:rsid w:val="00DC073F"/>
    <w:rsid w:val="00DC07F8"/>
    <w:rsid w:val="00DC0F86"/>
    <w:rsid w:val="00DC274D"/>
    <w:rsid w:val="00DC6756"/>
    <w:rsid w:val="00DC6C35"/>
    <w:rsid w:val="00DC7BE8"/>
    <w:rsid w:val="00DD7760"/>
    <w:rsid w:val="00DE284D"/>
    <w:rsid w:val="00DE62C1"/>
    <w:rsid w:val="00DF61AC"/>
    <w:rsid w:val="00DF7CEC"/>
    <w:rsid w:val="00E01FF0"/>
    <w:rsid w:val="00E01FFC"/>
    <w:rsid w:val="00E0386E"/>
    <w:rsid w:val="00E03E85"/>
    <w:rsid w:val="00E04507"/>
    <w:rsid w:val="00E079E0"/>
    <w:rsid w:val="00E10455"/>
    <w:rsid w:val="00E21139"/>
    <w:rsid w:val="00E23864"/>
    <w:rsid w:val="00E3062E"/>
    <w:rsid w:val="00E3313F"/>
    <w:rsid w:val="00E337F6"/>
    <w:rsid w:val="00E373A3"/>
    <w:rsid w:val="00E4176D"/>
    <w:rsid w:val="00E424CE"/>
    <w:rsid w:val="00E43D7E"/>
    <w:rsid w:val="00E43DE0"/>
    <w:rsid w:val="00E44A08"/>
    <w:rsid w:val="00E45268"/>
    <w:rsid w:val="00E4576B"/>
    <w:rsid w:val="00E47E77"/>
    <w:rsid w:val="00E527D4"/>
    <w:rsid w:val="00E541E8"/>
    <w:rsid w:val="00E56956"/>
    <w:rsid w:val="00E56DBE"/>
    <w:rsid w:val="00E629DC"/>
    <w:rsid w:val="00E66BC5"/>
    <w:rsid w:val="00E72F06"/>
    <w:rsid w:val="00E740CB"/>
    <w:rsid w:val="00E7471B"/>
    <w:rsid w:val="00E76705"/>
    <w:rsid w:val="00E80AF0"/>
    <w:rsid w:val="00E83953"/>
    <w:rsid w:val="00E83F12"/>
    <w:rsid w:val="00E844E6"/>
    <w:rsid w:val="00E86FF0"/>
    <w:rsid w:val="00E925EC"/>
    <w:rsid w:val="00E94FE5"/>
    <w:rsid w:val="00E966CD"/>
    <w:rsid w:val="00EA222B"/>
    <w:rsid w:val="00EA3C50"/>
    <w:rsid w:val="00EA4AED"/>
    <w:rsid w:val="00EB13F1"/>
    <w:rsid w:val="00EC294C"/>
    <w:rsid w:val="00EC3606"/>
    <w:rsid w:val="00EC3660"/>
    <w:rsid w:val="00EC4C1C"/>
    <w:rsid w:val="00EC6EAB"/>
    <w:rsid w:val="00EC770F"/>
    <w:rsid w:val="00ED4304"/>
    <w:rsid w:val="00ED6966"/>
    <w:rsid w:val="00ED7610"/>
    <w:rsid w:val="00EE25EE"/>
    <w:rsid w:val="00EE3191"/>
    <w:rsid w:val="00EE31E6"/>
    <w:rsid w:val="00EE45AA"/>
    <w:rsid w:val="00EF0B4E"/>
    <w:rsid w:val="00EF1E29"/>
    <w:rsid w:val="00EF2B53"/>
    <w:rsid w:val="00EF3D41"/>
    <w:rsid w:val="00EF4349"/>
    <w:rsid w:val="00EF55A1"/>
    <w:rsid w:val="00EF7709"/>
    <w:rsid w:val="00F1229B"/>
    <w:rsid w:val="00F132B6"/>
    <w:rsid w:val="00F134FC"/>
    <w:rsid w:val="00F1389D"/>
    <w:rsid w:val="00F15FBD"/>
    <w:rsid w:val="00F16573"/>
    <w:rsid w:val="00F20539"/>
    <w:rsid w:val="00F2351E"/>
    <w:rsid w:val="00F23E05"/>
    <w:rsid w:val="00F23E3C"/>
    <w:rsid w:val="00F242A2"/>
    <w:rsid w:val="00F24919"/>
    <w:rsid w:val="00F25292"/>
    <w:rsid w:val="00F2672E"/>
    <w:rsid w:val="00F3106A"/>
    <w:rsid w:val="00F31686"/>
    <w:rsid w:val="00F32128"/>
    <w:rsid w:val="00F3290C"/>
    <w:rsid w:val="00F362C5"/>
    <w:rsid w:val="00F36A15"/>
    <w:rsid w:val="00F37DB2"/>
    <w:rsid w:val="00F37F55"/>
    <w:rsid w:val="00F416FB"/>
    <w:rsid w:val="00F4185B"/>
    <w:rsid w:val="00F42B3C"/>
    <w:rsid w:val="00F44ECC"/>
    <w:rsid w:val="00F4549F"/>
    <w:rsid w:val="00F4766C"/>
    <w:rsid w:val="00F477FD"/>
    <w:rsid w:val="00F47DD2"/>
    <w:rsid w:val="00F512C6"/>
    <w:rsid w:val="00F514D0"/>
    <w:rsid w:val="00F52D09"/>
    <w:rsid w:val="00F573FA"/>
    <w:rsid w:val="00F629AF"/>
    <w:rsid w:val="00F6308E"/>
    <w:rsid w:val="00F63B63"/>
    <w:rsid w:val="00F66036"/>
    <w:rsid w:val="00F70BB5"/>
    <w:rsid w:val="00F71678"/>
    <w:rsid w:val="00F84B43"/>
    <w:rsid w:val="00F86094"/>
    <w:rsid w:val="00F92465"/>
    <w:rsid w:val="00F9310B"/>
    <w:rsid w:val="00F963C8"/>
    <w:rsid w:val="00FA065C"/>
    <w:rsid w:val="00FA0937"/>
    <w:rsid w:val="00FA746B"/>
    <w:rsid w:val="00FB0B5F"/>
    <w:rsid w:val="00FB5E9E"/>
    <w:rsid w:val="00FB6393"/>
    <w:rsid w:val="00FB65E8"/>
    <w:rsid w:val="00FC25B9"/>
    <w:rsid w:val="00FC34F1"/>
    <w:rsid w:val="00FC58B9"/>
    <w:rsid w:val="00FD111A"/>
    <w:rsid w:val="00FD134F"/>
    <w:rsid w:val="00FD49BC"/>
    <w:rsid w:val="00FD5F07"/>
    <w:rsid w:val="00FD66E8"/>
    <w:rsid w:val="00FD6742"/>
    <w:rsid w:val="00FE1B48"/>
    <w:rsid w:val="00FE2EF9"/>
    <w:rsid w:val="00FE6006"/>
    <w:rsid w:val="00FF08B8"/>
    <w:rsid w:val="00FF326F"/>
    <w:rsid w:val="00FF40DC"/>
    <w:rsid w:val="00FF4A1C"/>
    <w:rsid w:val="00FF5B43"/>
    <w:rsid w:val="00FF63D5"/>
    <w:rsid w:val="0B171D2D"/>
    <w:rsid w:val="149E58A3"/>
    <w:rsid w:val="164EB3B9"/>
    <w:rsid w:val="1FDEAA6F"/>
    <w:rsid w:val="25623F00"/>
    <w:rsid w:val="267D0B28"/>
    <w:rsid w:val="285F53C3"/>
    <w:rsid w:val="2AA02E63"/>
    <w:rsid w:val="2B0FDD52"/>
    <w:rsid w:val="2FDFC0C8"/>
    <w:rsid w:val="39377E17"/>
    <w:rsid w:val="450B649E"/>
    <w:rsid w:val="47460C97"/>
    <w:rsid w:val="4E1EB742"/>
    <w:rsid w:val="52170AA7"/>
    <w:rsid w:val="53F0BC0C"/>
    <w:rsid w:val="5872F4A5"/>
    <w:rsid w:val="5ED574E6"/>
    <w:rsid w:val="605F5749"/>
    <w:rsid w:val="64F73D37"/>
    <w:rsid w:val="6E6A2FD0"/>
    <w:rsid w:val="6EAC960E"/>
    <w:rsid w:val="73959BBD"/>
    <w:rsid w:val="74253048"/>
    <w:rsid w:val="7C056D06"/>
    <w:rsid w:val="7D221A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4BB62D"/>
  <w15:chartTrackingRefBased/>
  <w15:docId w15:val="{C979D0D5-DFA7-446C-B712-5A3DD137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4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385C93"/>
    <w:pPr>
      <w:numPr>
        <w:numId w:val="1"/>
      </w:numPr>
      <w:autoSpaceDE w:val="0"/>
      <w:autoSpaceDN w:val="0"/>
      <w:adjustRightInd w:val="0"/>
      <w:spacing w:after="0" w:line="240" w:lineRule="auto"/>
      <w:outlineLvl w:val="1"/>
    </w:pPr>
    <w:rPr>
      <w:rFonts w:ascii="Arial" w:eastAsia="Times New Roman" w:hAnsi="Arial" w:cs="Arial"/>
      <w:b/>
      <w:sz w:val="21"/>
      <w:szCs w:val="21"/>
      <w:lang w:eastAsia="en-GB"/>
    </w:rPr>
  </w:style>
  <w:style w:type="paragraph" w:styleId="Heading3">
    <w:name w:val="heading 3"/>
    <w:basedOn w:val="Normal"/>
    <w:next w:val="Normal"/>
    <w:link w:val="Heading3Char"/>
    <w:uiPriority w:val="9"/>
    <w:semiHidden/>
    <w:unhideWhenUsed/>
    <w:qFormat/>
    <w:rsid w:val="005E25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26EE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6EE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5C93"/>
    <w:rPr>
      <w:rFonts w:ascii="Arial" w:eastAsia="Times New Roman" w:hAnsi="Arial" w:cs="Arial"/>
      <w:b/>
      <w:sz w:val="21"/>
      <w:szCs w:val="21"/>
      <w:lang w:eastAsia="en-GB"/>
    </w:rPr>
  </w:style>
  <w:style w:type="paragraph" w:customStyle="1" w:styleId="bodytext">
    <w:name w:val="bodytext"/>
    <w:basedOn w:val="Normal"/>
    <w:rsid w:val="00385C93"/>
    <w:pPr>
      <w:numPr>
        <w:ilvl w:val="1"/>
        <w:numId w:val="1"/>
      </w:numPr>
      <w:autoSpaceDE w:val="0"/>
      <w:autoSpaceDN w:val="0"/>
      <w:adjustRightInd w:val="0"/>
      <w:spacing w:after="0" w:line="240" w:lineRule="auto"/>
    </w:pPr>
    <w:rPr>
      <w:rFonts w:ascii="Arial" w:eastAsia="Times New Roman" w:hAnsi="Arial" w:cs="Arial"/>
      <w:sz w:val="21"/>
      <w:szCs w:val="21"/>
      <w:lang w:eastAsia="en-GB"/>
    </w:rPr>
  </w:style>
  <w:style w:type="paragraph" w:customStyle="1" w:styleId="bodytext2">
    <w:name w:val="bodytext2"/>
    <w:basedOn w:val="bodytext1"/>
    <w:rsid w:val="00385C93"/>
    <w:pPr>
      <w:numPr>
        <w:ilvl w:val="3"/>
      </w:numPr>
    </w:pPr>
  </w:style>
  <w:style w:type="paragraph" w:customStyle="1" w:styleId="numbered2">
    <w:name w:val="numbered2"/>
    <w:basedOn w:val="bodytext"/>
    <w:rsid w:val="00385C93"/>
    <w:pPr>
      <w:numPr>
        <w:numId w:val="2"/>
      </w:numPr>
    </w:pPr>
  </w:style>
  <w:style w:type="paragraph" w:customStyle="1" w:styleId="numbered3">
    <w:name w:val="numbered3"/>
    <w:basedOn w:val="bodytext"/>
    <w:rsid w:val="00385C93"/>
    <w:pPr>
      <w:numPr>
        <w:ilvl w:val="2"/>
        <w:numId w:val="2"/>
      </w:numPr>
    </w:pPr>
  </w:style>
  <w:style w:type="paragraph" w:customStyle="1" w:styleId="numbered4">
    <w:name w:val="numbered4"/>
    <w:basedOn w:val="bodytext"/>
    <w:rsid w:val="00385C93"/>
    <w:pPr>
      <w:numPr>
        <w:ilvl w:val="3"/>
        <w:numId w:val="2"/>
      </w:numPr>
    </w:pPr>
  </w:style>
  <w:style w:type="paragraph" w:customStyle="1" w:styleId="numbered5">
    <w:name w:val="numbered5"/>
    <w:basedOn w:val="bodytext"/>
    <w:rsid w:val="00385C93"/>
    <w:pPr>
      <w:numPr>
        <w:ilvl w:val="4"/>
        <w:numId w:val="2"/>
      </w:numPr>
    </w:pPr>
  </w:style>
  <w:style w:type="paragraph" w:customStyle="1" w:styleId="bodytext1">
    <w:name w:val="bodytext1"/>
    <w:basedOn w:val="bodytext"/>
    <w:rsid w:val="00385C93"/>
    <w:pPr>
      <w:numPr>
        <w:ilvl w:val="2"/>
      </w:numPr>
    </w:pPr>
  </w:style>
  <w:style w:type="paragraph" w:styleId="Header">
    <w:name w:val="header"/>
    <w:aliases w:val="h"/>
    <w:basedOn w:val="Normal"/>
    <w:link w:val="HeaderChar"/>
    <w:uiPriority w:val="99"/>
    <w:rsid w:val="00985909"/>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aliases w:val="h Char"/>
    <w:basedOn w:val="DefaultParagraphFont"/>
    <w:link w:val="Header"/>
    <w:uiPriority w:val="99"/>
    <w:rsid w:val="00985909"/>
    <w:rPr>
      <w:rFonts w:ascii="Times New Roman" w:eastAsia="Times New Roman" w:hAnsi="Times New Roman" w:cs="Times New Roman"/>
      <w:sz w:val="20"/>
      <w:szCs w:val="20"/>
      <w:lang w:eastAsia="en-GB"/>
    </w:rPr>
  </w:style>
  <w:style w:type="paragraph" w:customStyle="1" w:styleId="Para0-2">
    <w:name w:val="Para0-2"/>
    <w:basedOn w:val="Normal"/>
    <w:link w:val="Para0-2Char"/>
    <w:uiPriority w:val="99"/>
    <w:rsid w:val="00D710DF"/>
    <w:pPr>
      <w:autoSpaceDE w:val="0"/>
      <w:autoSpaceDN w:val="0"/>
      <w:spacing w:after="0" w:line="240" w:lineRule="auto"/>
      <w:ind w:left="1134" w:hanging="1134"/>
      <w:jc w:val="both"/>
    </w:pPr>
    <w:rPr>
      <w:rFonts w:ascii="Times New Roman" w:eastAsia="Times New Roman" w:hAnsi="Times New Roman" w:cs="Times New Roman"/>
      <w:sz w:val="24"/>
      <w:szCs w:val="24"/>
    </w:rPr>
  </w:style>
  <w:style w:type="paragraph" w:customStyle="1" w:styleId="Para0-3">
    <w:name w:val="Para0-3"/>
    <w:basedOn w:val="Normal"/>
    <w:uiPriority w:val="99"/>
    <w:rsid w:val="00D710DF"/>
    <w:pPr>
      <w:autoSpaceDE w:val="0"/>
      <w:autoSpaceDN w:val="0"/>
      <w:spacing w:after="0" w:line="240" w:lineRule="auto"/>
      <w:ind w:left="1701" w:hanging="1701"/>
      <w:jc w:val="both"/>
    </w:pPr>
    <w:rPr>
      <w:rFonts w:ascii="Times New Roman" w:eastAsia="Times New Roman" w:hAnsi="Times New Roman" w:cs="Times New Roman"/>
      <w:sz w:val="24"/>
      <w:szCs w:val="24"/>
    </w:rPr>
  </w:style>
  <w:style w:type="character" w:customStyle="1" w:styleId="Para0-2Char">
    <w:name w:val="Para0-2 Char"/>
    <w:link w:val="Para0-2"/>
    <w:uiPriority w:val="99"/>
    <w:locked/>
    <w:rsid w:val="00D710DF"/>
    <w:rPr>
      <w:rFonts w:ascii="Times New Roman" w:eastAsia="Times New Roman" w:hAnsi="Times New Roman" w:cs="Times New Roman"/>
      <w:sz w:val="24"/>
      <w:szCs w:val="24"/>
    </w:rPr>
  </w:style>
  <w:style w:type="paragraph" w:customStyle="1" w:styleId="Char1CharCharCharCharCharChar">
    <w:name w:val="Char1 Char Char Char Char Char Char"/>
    <w:basedOn w:val="Normal"/>
    <w:uiPriority w:val="99"/>
    <w:semiHidden/>
    <w:rsid w:val="00D710DF"/>
    <w:pPr>
      <w:spacing w:line="240" w:lineRule="exact"/>
    </w:pPr>
    <w:rPr>
      <w:rFonts w:ascii="Arial" w:eastAsia="SimSun" w:hAnsi="Arial" w:cs="Arial"/>
    </w:rPr>
  </w:style>
  <w:style w:type="character" w:customStyle="1" w:styleId="Heading1Char">
    <w:name w:val="Heading 1 Char"/>
    <w:basedOn w:val="DefaultParagraphFont"/>
    <w:link w:val="Heading1"/>
    <w:uiPriority w:val="9"/>
    <w:rsid w:val="0059347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93479"/>
    <w:pPr>
      <w:outlineLvl w:val="9"/>
    </w:pPr>
    <w:rPr>
      <w:lang w:val="en-US"/>
    </w:rPr>
  </w:style>
  <w:style w:type="paragraph" w:styleId="TOC2">
    <w:name w:val="toc 2"/>
    <w:basedOn w:val="Normal"/>
    <w:next w:val="Normal"/>
    <w:autoRedefine/>
    <w:uiPriority w:val="39"/>
    <w:unhideWhenUsed/>
    <w:rsid w:val="00593479"/>
    <w:pPr>
      <w:spacing w:after="100"/>
      <w:ind w:left="220"/>
    </w:pPr>
  </w:style>
  <w:style w:type="character" w:styleId="Hyperlink">
    <w:name w:val="Hyperlink"/>
    <w:basedOn w:val="DefaultParagraphFont"/>
    <w:uiPriority w:val="99"/>
    <w:unhideWhenUsed/>
    <w:rsid w:val="00593479"/>
    <w:rPr>
      <w:color w:val="0563C1" w:themeColor="hyperlink"/>
      <w:u w:val="single"/>
    </w:rPr>
  </w:style>
  <w:style w:type="paragraph" w:styleId="ListParagraph">
    <w:name w:val="List Paragraph"/>
    <w:basedOn w:val="Normal"/>
    <w:uiPriority w:val="34"/>
    <w:qFormat/>
    <w:rsid w:val="00045BA7"/>
    <w:pPr>
      <w:ind w:left="720"/>
      <w:contextualSpacing/>
    </w:pPr>
  </w:style>
  <w:style w:type="paragraph" w:styleId="NoSpacing">
    <w:name w:val="No Spacing"/>
    <w:uiPriority w:val="1"/>
    <w:qFormat/>
    <w:rsid w:val="00DB3576"/>
    <w:pPr>
      <w:spacing w:after="0" w:line="240" w:lineRule="auto"/>
    </w:pPr>
  </w:style>
  <w:style w:type="paragraph" w:styleId="BalloonText">
    <w:name w:val="Balloon Text"/>
    <w:basedOn w:val="Normal"/>
    <w:link w:val="BalloonTextChar"/>
    <w:uiPriority w:val="99"/>
    <w:semiHidden/>
    <w:unhideWhenUsed/>
    <w:rsid w:val="00FF4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A1C"/>
    <w:rPr>
      <w:rFonts w:ascii="Segoe UI" w:hAnsi="Segoe UI" w:cs="Segoe UI"/>
      <w:sz w:val="18"/>
      <w:szCs w:val="18"/>
    </w:rPr>
  </w:style>
  <w:style w:type="table" w:styleId="TableGrid">
    <w:name w:val="Table Grid"/>
    <w:basedOn w:val="TableNormal"/>
    <w:uiPriority w:val="99"/>
    <w:rsid w:val="00EA3C5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aliases w:val="Body,bt,body text,b,b1,Trade Gothic"/>
    <w:basedOn w:val="Normal"/>
    <w:link w:val="BodyTextChar"/>
    <w:rsid w:val="00C32C82"/>
    <w:pPr>
      <w:suppressLineNumbers/>
      <w:spacing w:after="0" w:line="240" w:lineRule="auto"/>
      <w:jc w:val="both"/>
    </w:pPr>
    <w:rPr>
      <w:rFonts w:ascii="Times New Roman" w:eastAsia="Times New Roman" w:hAnsi="Times New Roman" w:cs="Times New Roman"/>
      <w:sz w:val="20"/>
      <w:szCs w:val="20"/>
      <w:lang w:eastAsia="en-GB"/>
    </w:rPr>
  </w:style>
  <w:style w:type="character" w:customStyle="1" w:styleId="BodyTextChar">
    <w:name w:val="Body Text Char"/>
    <w:aliases w:val="Body Char,bt Char,body text Char,b Char,b1 Char,Trade Gothic Char"/>
    <w:basedOn w:val="DefaultParagraphFont"/>
    <w:link w:val="BodyText0"/>
    <w:rsid w:val="00C32C82"/>
    <w:rPr>
      <w:rFonts w:ascii="Times New Roman" w:eastAsia="Times New Roman" w:hAnsi="Times New Roman" w:cs="Times New Roman"/>
      <w:sz w:val="20"/>
      <w:szCs w:val="20"/>
      <w:lang w:eastAsia="en-GB"/>
    </w:rPr>
  </w:style>
  <w:style w:type="paragraph" w:styleId="BodyTextIndent3">
    <w:name w:val="Body Text Indent 3"/>
    <w:basedOn w:val="Normal"/>
    <w:link w:val="BodyTextIndent3Char"/>
    <w:rsid w:val="00C32C82"/>
    <w:pPr>
      <w:spacing w:after="0" w:line="240" w:lineRule="auto"/>
      <w:ind w:left="720"/>
      <w:jc w:val="both"/>
    </w:pPr>
    <w:rPr>
      <w:rFonts w:ascii="Times New Roman" w:eastAsia="Times New Roman" w:hAnsi="Times New Roman" w:cs="Times New Roman"/>
      <w:sz w:val="20"/>
      <w:szCs w:val="20"/>
      <w:lang w:eastAsia="en-GB"/>
    </w:rPr>
  </w:style>
  <w:style w:type="character" w:customStyle="1" w:styleId="BodyTextIndent3Char">
    <w:name w:val="Body Text Indent 3 Char"/>
    <w:basedOn w:val="DefaultParagraphFont"/>
    <w:link w:val="BodyTextIndent3"/>
    <w:rsid w:val="00C32C82"/>
    <w:rPr>
      <w:rFonts w:ascii="Times New Roman" w:eastAsia="Times New Roman" w:hAnsi="Times New Roman" w:cs="Times New Roman"/>
      <w:sz w:val="20"/>
      <w:szCs w:val="20"/>
      <w:lang w:eastAsia="en-GB"/>
    </w:rPr>
  </w:style>
  <w:style w:type="paragraph" w:customStyle="1" w:styleId="ContractClause1">
    <w:name w:val="Contract Clause 1"/>
    <w:basedOn w:val="Normal"/>
    <w:autoRedefine/>
    <w:rsid w:val="00C32C82"/>
    <w:pPr>
      <w:spacing w:after="120" w:line="240" w:lineRule="auto"/>
      <w:ind w:left="709" w:hanging="709"/>
      <w:jc w:val="both"/>
    </w:pPr>
    <w:rPr>
      <w:rFonts w:ascii="Arial" w:eastAsia="Times New Roman" w:hAnsi="Arial" w:cs="Arial"/>
      <w:sz w:val="20"/>
      <w:szCs w:val="20"/>
      <w:lang w:eastAsia="en-GB"/>
    </w:rPr>
  </w:style>
  <w:style w:type="character" w:styleId="CommentReference">
    <w:name w:val="annotation reference"/>
    <w:basedOn w:val="DefaultParagraphFont"/>
    <w:uiPriority w:val="99"/>
    <w:unhideWhenUsed/>
    <w:rsid w:val="002D40E6"/>
    <w:rPr>
      <w:sz w:val="16"/>
      <w:szCs w:val="16"/>
    </w:rPr>
  </w:style>
  <w:style w:type="paragraph" w:styleId="CommentText">
    <w:name w:val="annotation text"/>
    <w:basedOn w:val="Normal"/>
    <w:link w:val="CommentTextChar"/>
    <w:uiPriority w:val="99"/>
    <w:unhideWhenUsed/>
    <w:rsid w:val="002D40E6"/>
    <w:pPr>
      <w:spacing w:line="240" w:lineRule="auto"/>
    </w:pPr>
    <w:rPr>
      <w:sz w:val="20"/>
      <w:szCs w:val="20"/>
    </w:rPr>
  </w:style>
  <w:style w:type="character" w:customStyle="1" w:styleId="CommentTextChar">
    <w:name w:val="Comment Text Char"/>
    <w:basedOn w:val="DefaultParagraphFont"/>
    <w:link w:val="CommentText"/>
    <w:uiPriority w:val="99"/>
    <w:rsid w:val="002D40E6"/>
    <w:rPr>
      <w:sz w:val="20"/>
      <w:szCs w:val="20"/>
    </w:rPr>
  </w:style>
  <w:style w:type="paragraph" w:styleId="CommentSubject">
    <w:name w:val="annotation subject"/>
    <w:basedOn w:val="CommentText"/>
    <w:next w:val="CommentText"/>
    <w:link w:val="CommentSubjectChar"/>
    <w:uiPriority w:val="99"/>
    <w:semiHidden/>
    <w:unhideWhenUsed/>
    <w:rsid w:val="002D40E6"/>
    <w:rPr>
      <w:b/>
      <w:bCs/>
    </w:rPr>
  </w:style>
  <w:style w:type="character" w:customStyle="1" w:styleId="CommentSubjectChar">
    <w:name w:val="Comment Subject Char"/>
    <w:basedOn w:val="CommentTextChar"/>
    <w:link w:val="CommentSubject"/>
    <w:uiPriority w:val="99"/>
    <w:semiHidden/>
    <w:rsid w:val="002D40E6"/>
    <w:rPr>
      <w:b/>
      <w:bCs/>
      <w:sz w:val="20"/>
      <w:szCs w:val="20"/>
    </w:rPr>
  </w:style>
  <w:style w:type="paragraph" w:customStyle="1" w:styleId="Indent2">
    <w:name w:val="Indent2"/>
    <w:basedOn w:val="Normal"/>
    <w:uiPriority w:val="99"/>
    <w:rsid w:val="00822BEB"/>
    <w:pPr>
      <w:autoSpaceDE w:val="0"/>
      <w:autoSpaceDN w:val="0"/>
      <w:spacing w:after="0" w:line="240" w:lineRule="auto"/>
      <w:ind w:left="1134"/>
      <w:jc w:val="both"/>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226EE3"/>
    <w:pPr>
      <w:spacing w:after="120" w:line="480" w:lineRule="auto"/>
      <w:ind w:left="283"/>
    </w:pPr>
  </w:style>
  <w:style w:type="character" w:customStyle="1" w:styleId="BodyTextIndent2Char">
    <w:name w:val="Body Text Indent 2 Char"/>
    <w:basedOn w:val="DefaultParagraphFont"/>
    <w:link w:val="BodyTextIndent2"/>
    <w:uiPriority w:val="99"/>
    <w:semiHidden/>
    <w:rsid w:val="00226EE3"/>
  </w:style>
  <w:style w:type="paragraph" w:styleId="BodyTextIndent">
    <w:name w:val="Body Text Indent"/>
    <w:basedOn w:val="Normal"/>
    <w:link w:val="BodyTextIndentChar"/>
    <w:uiPriority w:val="99"/>
    <w:semiHidden/>
    <w:unhideWhenUsed/>
    <w:rsid w:val="00226EE3"/>
    <w:pPr>
      <w:spacing w:after="120"/>
      <w:ind w:left="283"/>
    </w:pPr>
  </w:style>
  <w:style w:type="character" w:customStyle="1" w:styleId="BodyTextIndentChar">
    <w:name w:val="Body Text Indent Char"/>
    <w:basedOn w:val="DefaultParagraphFont"/>
    <w:link w:val="BodyTextIndent"/>
    <w:uiPriority w:val="99"/>
    <w:semiHidden/>
    <w:rsid w:val="00226EE3"/>
  </w:style>
  <w:style w:type="character" w:customStyle="1" w:styleId="Heading4Char">
    <w:name w:val="Heading 4 Char"/>
    <w:basedOn w:val="DefaultParagraphFont"/>
    <w:link w:val="Heading4"/>
    <w:uiPriority w:val="9"/>
    <w:semiHidden/>
    <w:rsid w:val="00226EE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26EE3"/>
    <w:rPr>
      <w:rFonts w:asciiTheme="majorHAnsi" w:eastAsiaTheme="majorEastAsia" w:hAnsiTheme="majorHAnsi" w:cstheme="majorBidi"/>
      <w:color w:val="2F5496" w:themeColor="accent1" w:themeShade="BF"/>
    </w:rPr>
  </w:style>
  <w:style w:type="paragraph" w:styleId="Title">
    <w:name w:val="Title"/>
    <w:basedOn w:val="Normal"/>
    <w:link w:val="TitleChar"/>
    <w:uiPriority w:val="99"/>
    <w:qFormat/>
    <w:rsid w:val="00226EE3"/>
    <w:pPr>
      <w:autoSpaceDE w:val="0"/>
      <w:autoSpaceDN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226EE3"/>
    <w:rPr>
      <w:rFonts w:ascii="Times New Roman" w:eastAsia="Times New Roman" w:hAnsi="Times New Roman" w:cs="Times New Roman"/>
      <w:b/>
      <w:bCs/>
      <w:sz w:val="24"/>
      <w:szCs w:val="24"/>
    </w:rPr>
  </w:style>
  <w:style w:type="paragraph" w:styleId="Footer">
    <w:name w:val="footer"/>
    <w:basedOn w:val="Normal"/>
    <w:link w:val="FooterChar"/>
    <w:uiPriority w:val="99"/>
    <w:rsid w:val="00426DB2"/>
    <w:pPr>
      <w:autoSpaceDE w:val="0"/>
      <w:autoSpaceDN w:val="0"/>
      <w:spacing w:after="0" w:line="240" w:lineRule="auto"/>
      <w:jc w:val="both"/>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uiPriority w:val="99"/>
    <w:rsid w:val="00426DB2"/>
    <w:rPr>
      <w:rFonts w:ascii="Times New Roman" w:eastAsia="Times New Roman" w:hAnsi="Times New Roman" w:cs="Times New Roman"/>
      <w:sz w:val="20"/>
      <w:szCs w:val="20"/>
      <w:lang w:eastAsia="en-GB"/>
    </w:rPr>
  </w:style>
  <w:style w:type="paragraph" w:customStyle="1" w:styleId="Para2-3">
    <w:name w:val="Para2-3"/>
    <w:basedOn w:val="Normal"/>
    <w:uiPriority w:val="99"/>
    <w:rsid w:val="00426DB2"/>
    <w:pPr>
      <w:autoSpaceDE w:val="0"/>
      <w:autoSpaceDN w:val="0"/>
      <w:spacing w:after="0" w:line="240" w:lineRule="auto"/>
      <w:ind w:left="1701" w:hanging="567"/>
      <w:jc w:val="both"/>
    </w:pPr>
    <w:rPr>
      <w:rFonts w:ascii="Times New Roman" w:eastAsia="Times New Roman" w:hAnsi="Times New Roman" w:cs="Times New Roman"/>
      <w:sz w:val="24"/>
      <w:szCs w:val="24"/>
      <w:lang w:eastAsia="en-GB"/>
    </w:rPr>
  </w:style>
  <w:style w:type="character" w:styleId="PageNumber">
    <w:name w:val="page number"/>
    <w:uiPriority w:val="99"/>
    <w:rsid w:val="00426DB2"/>
    <w:rPr>
      <w:rFonts w:ascii="Times New Roman" w:hAnsi="Times New Roman" w:cs="Times New Roman"/>
      <w:sz w:val="24"/>
      <w:szCs w:val="24"/>
      <w:lang w:val="en-GB" w:eastAsia="x-none"/>
    </w:rPr>
  </w:style>
  <w:style w:type="character" w:customStyle="1" w:styleId="Heading3Char">
    <w:name w:val="Heading 3 Char"/>
    <w:basedOn w:val="DefaultParagraphFont"/>
    <w:link w:val="Heading3"/>
    <w:uiPriority w:val="9"/>
    <w:semiHidden/>
    <w:rsid w:val="005E2536"/>
    <w:rPr>
      <w:rFonts w:asciiTheme="majorHAnsi" w:eastAsiaTheme="majorEastAsia" w:hAnsiTheme="majorHAnsi" w:cstheme="majorBidi"/>
      <w:color w:val="1F3763" w:themeColor="accent1" w:themeShade="7F"/>
      <w:sz w:val="24"/>
      <w:szCs w:val="24"/>
    </w:rPr>
  </w:style>
  <w:style w:type="paragraph" w:styleId="BodyText20">
    <w:name w:val="Body Text 2"/>
    <w:basedOn w:val="Normal"/>
    <w:link w:val="BodyText2Char"/>
    <w:uiPriority w:val="99"/>
    <w:unhideWhenUsed/>
    <w:rsid w:val="005E2536"/>
    <w:pPr>
      <w:spacing w:after="120" w:line="480" w:lineRule="auto"/>
    </w:pPr>
  </w:style>
  <w:style w:type="character" w:customStyle="1" w:styleId="BodyText2Char">
    <w:name w:val="Body Text 2 Char"/>
    <w:basedOn w:val="DefaultParagraphFont"/>
    <w:link w:val="BodyText20"/>
    <w:uiPriority w:val="99"/>
    <w:rsid w:val="005E2536"/>
  </w:style>
  <w:style w:type="paragraph" w:customStyle="1" w:styleId="Definitions">
    <w:name w:val="Definitions"/>
    <w:basedOn w:val="Normal"/>
    <w:uiPriority w:val="99"/>
    <w:rsid w:val="00A96306"/>
    <w:pPr>
      <w:autoSpaceDE w:val="0"/>
      <w:autoSpaceDN w:val="0"/>
      <w:spacing w:after="0" w:line="240" w:lineRule="auto"/>
      <w:ind w:left="4253" w:hanging="4253"/>
      <w:jc w:val="both"/>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unhideWhenUsed/>
    <w:rsid w:val="00533D03"/>
    <w:rPr>
      <w:color w:val="605E5C"/>
      <w:shd w:val="clear" w:color="auto" w:fill="E1DFDD"/>
    </w:rPr>
  </w:style>
  <w:style w:type="character" w:styleId="Mention">
    <w:name w:val="Mention"/>
    <w:basedOn w:val="DefaultParagraphFont"/>
    <w:uiPriority w:val="99"/>
    <w:unhideWhenUsed/>
    <w:rsid w:val="00533D03"/>
    <w:rPr>
      <w:color w:val="2B579A"/>
      <w:shd w:val="clear" w:color="auto" w:fill="E1DFDD"/>
    </w:rPr>
  </w:style>
  <w:style w:type="paragraph" w:styleId="TOC1">
    <w:name w:val="toc 1"/>
    <w:basedOn w:val="Normal"/>
    <w:next w:val="Normal"/>
    <w:autoRedefine/>
    <w:uiPriority w:val="39"/>
    <w:unhideWhenUsed/>
    <w:rsid w:val="00530AF5"/>
    <w:pPr>
      <w:spacing w:after="100"/>
    </w:pPr>
  </w:style>
  <w:style w:type="paragraph" w:styleId="TOC3">
    <w:name w:val="toc 3"/>
    <w:basedOn w:val="Normal"/>
    <w:next w:val="Normal"/>
    <w:autoRedefine/>
    <w:uiPriority w:val="39"/>
    <w:unhideWhenUsed/>
    <w:rsid w:val="00530AF5"/>
    <w:pPr>
      <w:spacing w:after="100"/>
      <w:ind w:left="440"/>
    </w:pPr>
  </w:style>
  <w:style w:type="paragraph" w:styleId="Revision">
    <w:name w:val="Revision"/>
    <w:hidden/>
    <w:uiPriority w:val="99"/>
    <w:semiHidden/>
    <w:rsid w:val="00B60A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364220">
      <w:bodyDiv w:val="1"/>
      <w:marLeft w:val="0"/>
      <w:marRight w:val="0"/>
      <w:marTop w:val="0"/>
      <w:marBottom w:val="0"/>
      <w:divBdr>
        <w:top w:val="none" w:sz="0" w:space="0" w:color="auto"/>
        <w:left w:val="none" w:sz="0" w:space="0" w:color="auto"/>
        <w:bottom w:val="none" w:sz="0" w:space="0" w:color="auto"/>
        <w:right w:val="none" w:sz="0" w:space="0" w:color="auto"/>
      </w:divBdr>
    </w:div>
    <w:div w:id="1767460736">
      <w:bodyDiv w:val="1"/>
      <w:marLeft w:val="0"/>
      <w:marRight w:val="0"/>
      <w:marTop w:val="0"/>
      <w:marBottom w:val="0"/>
      <w:divBdr>
        <w:top w:val="none" w:sz="0" w:space="0" w:color="auto"/>
        <w:left w:val="none" w:sz="0" w:space="0" w:color="auto"/>
        <w:bottom w:val="none" w:sz="0" w:space="0" w:color="auto"/>
        <w:right w:val="none" w:sz="0" w:space="0" w:color="auto"/>
      </w:divBdr>
    </w:div>
    <w:div w:id="20711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commons.wikimedia.org/wiki/File:BT_logo_2019.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BT_x0020_Document_x0020_Owner xmlns="1b6a0dc0-836b-49df-a660-772c2ba996fb">
      <UserInfo>
        <DisplayName/>
        <AccountId xsi:nil="true"/>
        <AccountType/>
      </UserInfo>
    </BT_x0020_Document_x0020_Owner>
    <BT_x0020_Data_x0020_Classification xmlns="1b6a0dc0-836b-49df-a660-772c2ba996fb">In Confidence</BT_x0020_Data_x0020_Classification>
    <_dlc_DocId xmlns="baea0a03-c0a2-4a1e-b2d5-80db76c0b6e5">Y3TMTP5N2VXD-1368473823-12</_dlc_DocId>
    <_dlc_DocIdUrl xmlns="baea0a03-c0a2-4a1e-b2d5-80db76c0b6e5">
      <Url>https://office.bt.com/sites/contractcentral/_layouts/DocIdRedir.aspx?ID=Y3TMTP5N2VXD-1368473823-12</Url>
      <Description>Y3TMTP5N2VXD-1368473823-12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BT Default Item" ma:contentTypeID="0x0101005EEE68971716474CABDF87371185FDEC00EC6EA5ED20A94112869E9D0DC08914F40022955CE2FC72504DA0B9D6D90354CCD7" ma:contentTypeVersion="52" ma:contentTypeDescription="Default item with a two year maximum retention period." ma:contentTypeScope="" ma:versionID="8eb647fb8a363d20a8d517a291571f33">
  <xsd:schema xmlns:xsd="http://www.w3.org/2001/XMLSchema" xmlns:xs="http://www.w3.org/2001/XMLSchema" xmlns:p="http://schemas.microsoft.com/office/2006/metadata/properties" xmlns:ns2="baea0a03-c0a2-4a1e-b2d5-80db76c0b6e5" xmlns:ns3="1b6a0dc0-836b-49df-a660-772c2ba996fb" targetNamespace="http://schemas.microsoft.com/office/2006/metadata/properties" ma:root="true" ma:fieldsID="30f06da09160eeb4f1fba9a5c0f1483f" ns2:_="" ns3:_="">
    <xsd:import namespace="baea0a03-c0a2-4a1e-b2d5-80db76c0b6e5"/>
    <xsd:import namespace="1b6a0dc0-836b-49df-a660-772c2ba996fb"/>
    <xsd:element name="properties">
      <xsd:complexType>
        <xsd:sequence>
          <xsd:element name="documentManagement">
            <xsd:complexType>
              <xsd:all>
                <xsd:element ref="ns2:_dlc_DocId" minOccurs="0"/>
                <xsd:element ref="ns2:_dlc_DocIdUrl" minOccurs="0"/>
                <xsd:element ref="ns2:_dlc_DocIdPersistId" minOccurs="0"/>
                <xsd:element ref="ns3:BT_x0020_Document_x0020_Owner" minOccurs="0"/>
                <xsd:element ref="ns3:BT_x0020_Data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a0a03-c0a2-4a1e-b2d5-80db76c0b6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6a0dc0-836b-49df-a660-772c2ba996fb" elementFormDefault="qualified">
    <xsd:import namespace="http://schemas.microsoft.com/office/2006/documentManagement/types"/>
    <xsd:import namespace="http://schemas.microsoft.com/office/infopath/2007/PartnerControls"/>
    <xsd:element name="BT_x0020_Document_x0020_Owner" ma:index="11" nillable="true" ma:displayName="BT Content Owner" ma:list="UserInfo" ma:internalName="BT_x0020_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T_x0020_Data_x0020_Classification" ma:index="12" nillable="true" ma:displayName="BT Data Classification" ma:default="In Confidence" ma:description="To understand more about BT Data Classifications: https://office.bt.com/sites/BTFixIt/Lists/How%20To%20Articles/DispForm_Cust.aspx?ID=1937&#10;&#10;Please note that data classified as IN STRICTEST CONFIDENCE must be encrypted before it is uploaded to office.bt.com.&#10;&#10;To understand how to easily encrypt IN STRICTEST CONFIDENCE information: https://office.bt.com/sites/BTFixIt/SitePages/view.aspx?article=11561" ma:format="Dropdown" ma:internalName="BT_x0020_Data_x0020_Classification" ma:readOnly="false">
      <xsd:simpleType>
        <xsd:restriction base="dms:Choice">
          <xsd:enumeration value="Public"/>
          <xsd:enumeration value="BT Internal"/>
          <xsd:enumeration value="In Confidence"/>
          <xsd:enumeration value="In Strictest Confid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5AD5D-D3FE-444B-B7EC-11D1483170FE}">
  <ds:schemaRefs>
    <ds:schemaRef ds:uri="http://schemas.microsoft.com/sharepoint/v3/contenttype/forms"/>
  </ds:schemaRefs>
</ds:datastoreItem>
</file>

<file path=customXml/itemProps2.xml><?xml version="1.0" encoding="utf-8"?>
<ds:datastoreItem xmlns:ds="http://schemas.openxmlformats.org/officeDocument/2006/customXml" ds:itemID="{E9CD708E-44E3-49DC-9777-69C0A82E40F5}">
  <ds:schemaRefs>
    <ds:schemaRef ds:uri="http://schemas.openxmlformats.org/officeDocument/2006/bibliography"/>
  </ds:schemaRefs>
</ds:datastoreItem>
</file>

<file path=customXml/itemProps3.xml><?xml version="1.0" encoding="utf-8"?>
<ds:datastoreItem xmlns:ds="http://schemas.openxmlformats.org/officeDocument/2006/customXml" ds:itemID="{A83F93CC-C5BC-41EE-9D81-52ABA34BD6B6}">
  <ds:schemaRefs>
    <ds:schemaRef ds:uri="http://schemas.microsoft.com/office/2006/metadata/properties"/>
    <ds:schemaRef ds:uri="http://schemas.microsoft.com/office/infopath/2007/PartnerControls"/>
    <ds:schemaRef ds:uri="1b6a0dc0-836b-49df-a660-772c2ba996fb"/>
    <ds:schemaRef ds:uri="baea0a03-c0a2-4a1e-b2d5-80db76c0b6e5"/>
  </ds:schemaRefs>
</ds:datastoreItem>
</file>

<file path=customXml/itemProps4.xml><?xml version="1.0" encoding="utf-8"?>
<ds:datastoreItem xmlns:ds="http://schemas.openxmlformats.org/officeDocument/2006/customXml" ds:itemID="{D1E87817-CCEF-4C81-BB3E-8C7DCEE4ABC2}">
  <ds:schemaRefs>
    <ds:schemaRef ds:uri="http://schemas.microsoft.com/sharepoint/events"/>
  </ds:schemaRefs>
</ds:datastoreItem>
</file>

<file path=customXml/itemProps5.xml><?xml version="1.0" encoding="utf-8"?>
<ds:datastoreItem xmlns:ds="http://schemas.openxmlformats.org/officeDocument/2006/customXml" ds:itemID="{7ED72913-76BD-4326-962E-8939498B3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a0a03-c0a2-4a1e-b2d5-80db76c0b6e5"/>
    <ds:schemaRef ds:uri="1b6a0dc0-836b-49df-a660-772c2ba99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3929</Words>
  <Characters>22396</Characters>
  <Application>Microsoft Office Word</Application>
  <DocSecurity>0</DocSecurity>
  <Lines>186</Lines>
  <Paragraphs>52</Paragraphs>
  <ScaleCrop>false</ScaleCrop>
  <Company/>
  <LinksUpToDate>false</LinksUpToDate>
  <CharactersWithSpaces>26273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Logeswaran,N,Nishanth,NML R</dc:creator>
  <cp:keywords/>
  <dc:description/>
  <cp:lastModifiedBy>Rai,S,Sana,NUP R</cp:lastModifiedBy>
  <cp:revision>10</cp:revision>
  <cp:lastPrinted>2022-01-07T16:32:00Z</cp:lastPrinted>
  <dcterms:created xsi:type="dcterms:W3CDTF">2023-07-11T20:39:00Z</dcterms:created>
  <dcterms:modified xsi:type="dcterms:W3CDTF">2023-07-24T10:54:00Z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2021-05-17T11:02:11Z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a46fa24b-5458-4b7c-af3d-f627b2c6b4ab</vt:lpwstr>
  </property>
  <property fmtid="{D5CDD505-2E9C-101B-9397-08002B2CF9AE}" pid="8" name="MSIP_Label_55818d02-8d25-4bb9-b27c-e4db64670887_ContentBits">
    <vt:lpwstr>0</vt:lpwstr>
  </property>
  <property fmtid="{D5CDD505-2E9C-101B-9397-08002B2CF9AE}" pid="9" name="ContentTypeId">
    <vt:lpwstr>0x0101005EEE68971716474CABDF87371185FDEC00EC6EA5ED20A94112869E9D0DC08914F40022955CE2FC72504DA0B9D6D90354CCD7</vt:lpwstr>
  </property>
  <property fmtid="{D5CDD505-2E9C-101B-9397-08002B2CF9AE}" pid="10" name="SharedWithUsers">
    <vt:lpwstr>24;#Williamson,J,Jonathan,CGLQ C</vt:lpwstr>
  </property>
  <property fmtid="{D5CDD505-2E9C-101B-9397-08002B2CF9AE}" pid="11" name="_dlc_DocIdItemGuid">
    <vt:lpwstr>24e11530-8677-47a1-b6a4-7235e7c6d34a</vt:lpwstr>
  </property>
  <property fmtid="{D5CDD505-2E9C-101B-9397-08002B2CF9AE}" pid="12" name="Order">
    <vt:r8>1200</vt:r8>
  </property>
  <property fmtid="{D5CDD505-2E9C-101B-9397-08002B2CF9AE}" pid="13" name="Has Copy Destinations">
    <vt:bool>false</vt:bool>
  </property>
  <property fmtid="{D5CDD505-2E9C-101B-9397-08002B2CF9AE}" pid="14" name="Document ID Value">
    <vt:lpwstr>Y3TMTP5N2VXD-1368473823-12</vt:lpwstr>
  </property>
  <property fmtid="{D5CDD505-2E9C-101B-9397-08002B2CF9AE}" pid="15" name="a6748acc2b4e400e8dcdab0792578e55">
    <vt:lpwstr>English|6b8bacaf-8426-4946-be39-8600aacd45b4</vt:lpwstr>
  </property>
  <property fmtid="{D5CDD505-2E9C-101B-9397-08002B2CF9AE}" pid="16" name="TaxCatchAll">
    <vt:lpwstr>-1;#English</vt:lpwstr>
  </property>
</Properties>
</file>